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Crisis Management Plan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RC-PLN-003  |  Plan  |  Incident Recovery Communication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Crisis Management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Communication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22361:2022; ISO 22301:2019 Clause 8.4.2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sets how senior leaders manage a crisis that threatens people, operations, reputation, or legal standing, including team structure, decision-making, and stakeholder communication (RC.CO-03, RC.CO-04).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Crisis Management 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membership, roles, and meeting rhythm.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4819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Member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Responsibility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Chair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Final decisions, external spokesperson or delegate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Operations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heads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continuity and workarounds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(CIO), Chief Information Security Officer (CISO) or Security Manager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status, recovery timeline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and compliance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Counsel, Data Protection Officer (DPO)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Notifications, legal exposure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Communications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Messages to staff, customers, media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Finance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Financial Officer (CFO)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Costs, insurance, payments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Coordinator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Logs decisions and actions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Crisis Rhythm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cycle of meetings, decisions, and updates.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Initial meeting within 1 hour of activation.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Situation updates every 2 to 4 hours: facts, impact, decisions needed, next update time.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Decision log maintained by the Business Continuity Management (BCM) Coordinator Coordinator.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Stakeholder updates issued after each cycle (RC-PRC-002).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Separate the crisis team (strategic) from the incident response team (technical) to avoid micromanagement.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a crisis room and phone bridge that do not depend on corporate 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Executives join technical calls and slow the response.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RC.CO-03: Recovery activities and progress in restoring operational capabilities are communicated to designated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RC.CO-04: Public updates on incident recovery are shared using approved methods and messaging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RS.MA-04: Incidents are escalated or elevated as needed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22361:2022; ISO 22301:2019 Clause 8.4.2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RC-POL-001: Business Continuity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RC-PLN-003  |  Crisis Management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