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Public Statement and Stakeholder Update Templates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RC-TPL-001  |  Template  |  Incident Recovery Communication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Statement and Stakeholder Update Templates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Communication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Resilience,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These templates provide pre-approved messages for staff, customers, and the public at each stage of a cyber incident and recovery (RC.CO-04).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(RC-PRC-002)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Holding Statement (First Hours)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a short statement for the first public response.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[Organization Name] is responding to an IT incident affecting some of our systems. We have activated our response plans and are working with specialists to restore services safely. [Critical service] continues through alternative procedures. We will provide an update by [time].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Staff Update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a template for internal updates.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Update [number], [time]: Systems affected: [list]. What to do: [instructions, for example, use downtime forms, do not connect devices]. What not to do: do not discuss the incident externally. Next update: [time]. Questions: [contact].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Recovery Update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a template for public recovery updates.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[Organization Name] has restored [services]. We are completing checks on remaining systems and expect [timeline]. [If personal data affected: We are contacting affected individuals directly.] We thank our customers for their patience.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Legal and Communications approve templates annually.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Thai and English versions.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Using 'no evidence of data theft' before the investigation can support it.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RC.CO-04: Public updates on incident recovery are shared using approved methods and messaging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RC.CO-03: Recovery activities and progress in restoring operational capabilities are communicated to designated stakeholders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RC-PRC-002: Crisis Communication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RC-TPL-001  |  Public Statement and Stakeholder Update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