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Recovery Completion and Sign-off Form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RC-FRM-001  |  Form  |  Incident Recovery Plan Execution (RC.RP)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RC-FRM-001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Recovery Completion and Sign-off 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Recover (RC)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Recovery Plan Execution (RC.RP)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NIST SP 800-61 Rev. 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Resilience,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confirms that a system has been restored, its integrity verified, and that it is approved for return to normal operation, and records the end of recovery (RC.RP-04 to RC.RP-06).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is used by the units and roles named in its parent document (RC-PLN-002)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Form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every field the requester or approver must complete, with a clear description, so the form is complete and auditable.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Field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Entry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or test reference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 or DR ID.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restored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and environment.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Restore point used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Date, time, copy type.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Integrity checks completed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Malware scan, baseline, monitoring enabled.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Functional validation by owner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Tests performed and result.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loss (actual vs RPO)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Measured gap.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Residual issues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Known issues and owners.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End of recovery declared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Date, time, by whom.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Approval and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who reviewed and approved the form, with name, date, and signature or electronic approval.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Name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Signature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Owner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Require security sign-off before returning systems after a cyber incident.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Users are reconnected before integrity checks, allowing re-infection.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RC.RP-04: Critical mission functions and cybersecurity risk management are considered to establish post-incident operational norms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RC.RP-05: The integrity of restored assets is verified, systems and services are restored, and normal operating status is confirmed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RC.RP-06: The end of incident recovery is declared based on criteria, and incident-related documentation is completed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CP-10, IR-4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NIST SP 800-61 Rev. 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RC-PLN-002: IT Disaster Recovery Plan (DRP)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RC-FRM-001  |  Recovery Completion and Sign-off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