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Business Continuity Management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RC-POL-001  |  Policy  |  Incident Recovery Plan Execution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RC-POL-001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(BCM) Coordinator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Plan Execution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(BCP) [VERIFY]; ISO 22301:2019 Clause 5.2; ISO/IEC 27001:2022 Annex A 5.29 and 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Legal and Regulatory,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commits [Organization Name] to maintaining critical services during disruption and recovering them within approved objectives, through a business continuity management (BCM) program (RC.RP, GV.OC-04).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Policy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mandatory BCM principles (ISO 22301:2019 Clause 5.2).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 Business Impact Analysis (ID-RPT-002) identifies critical services and recovery objectives at least once a year.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Each critical service has a continuity plan, and each critical system has a tested recovery plan (RC-PLN-001, RC-PLN-002).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Cyber scenarios, including ransomware and loss of IT, are included in continuity planning.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Plans are exercised at least once a year and updated after exercises, incidents, and major changes (ID-PLN-002).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Information security is maintained during disruption (ISO/IEC 27001:2022 Annex A 5.29).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Critical suppliers have continuity arrangements that meet our objectives.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Integrate IT disaster recovery, cyber incident response, and business continuity so they hand off cleanly.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Make business units own their continuity plans; IT owns technology recovery.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Treating BCP as an IT document only, with no business workarounds.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RC.RP-01: The recovery portion of the incident response plan is executed once initiated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GV.OC-04: Critical objectives, capabilities, and services that external stakeholders depend on are understood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A.5.29,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(BCP) [VERIFY]; ISO 22301:2019 Clause 5.2; ISO/IEC 27001:2022 Annex A 5.29 and 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ID-RPT-002: Business Impact Analysis (BIA)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PR-STD-017: Technology Resilience and Capacity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RC-PLN-001: Business Continuity Plan (BCP)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RC-PLN-003: Crisis Management Plan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RC-POL-001  |  Business Continuity Management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