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Governance Charter</w:t>
      </w:r>
    </w:p>
    <w:p>
      <w:pPr>
        <w:spacing w:after="80" w:before="0"/>
      </w:pPr>
      <w:r>
        <w:rPr>
          <w:rFonts w:ascii="Calibri" w:hAnsi="Calibri" w:cs="Calibri" w:eastAsia="Calibri"/>
          <w:b w:val="0"/>
          <w:i w:val="0"/>
          <w:color w:val="595959"/>
          <w:sz w:val="18"/>
          <w:szCs w:val="18"/>
        </w:rPr>
        <w:t>GV-CHR-001  |  Charter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GV-CHR-001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Governance Charter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Board of Directors</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0: Charter, Strategy, and Statement</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Charter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5.1 and 5.3; CSA s.44 (CII)</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CMC Board of Directors</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March 2026</w:t>
            </w:r>
          </w:p>
        </w:tc>
        <w:tc>
          <w:tcPr>
            <w:tcW w:type="dxa" w:w="3742"/>
          </w:tcPr>
          <w:p>
            <w:r/>
            <w:r>
              <w:rPr>
                <w:rFonts w:ascii="Calibri" w:hAnsi="Calibri" w:cs="Calibri" w:eastAsia="Calibri"/>
                <w:b w:val="0"/>
                <w:i w:val="0"/>
                <w:sz w:val="18"/>
                <w:szCs w:val="18"/>
              </w:rPr>
              <w:t>Updated in March 2026 to add the private session right with the Audit Committee and the MSSP in the governance structure.</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CMC Board of Directors</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charter establishes the mandate, authority, and governance structure for cybersecurity at Chaophraya Medical Center (CMC), and makes leadership accountable for cybersecurity risk.</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charter covers Chaophraya Medical Center (CMC) as a whole, including all business units, sites, and outsourced services.</w:t>
      </w:r>
    </w:p>
    <w:p>
      <w:pPr>
        <w:pStyle w:val="Heading2"/>
        <w:keepNext/>
        <w:spacing w:before="120" w:after="80"/>
      </w:pPr>
      <w:r>
        <w:rPr>
          <w:rFonts w:ascii="Calibri" w:hAnsi="Calibri" w:cs="Calibri" w:eastAsia="Calibri"/>
          <w:b/>
          <w:i w:val="0"/>
          <w:color w:val="1F3864"/>
          <w:sz w:val="24"/>
          <w:szCs w:val="24"/>
          <w:bCs/>
        </w:rPr>
        <w:t>4.3 Mandate and Authority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authority the Board grants to the security function, including access to information and escalation rights.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CMC Board established the cybersecurity program in January 2025 after a ransomware attack on a peer hospital, and delegated its operation to the CEO.</w:t>
      </w:r>
    </w:p>
    <w:p>
      <w:pPr>
        <w:pStyle w:val="ListBullet"/>
        <w:spacing w:after="40"/>
      </w:pPr>
      <w:r>
        <w:rPr>
          <w:rFonts w:ascii="Calibri" w:hAnsi="Calibri" w:cs="Calibri" w:eastAsia="Calibri"/>
          <w:b w:val="0"/>
          <w:i w:val="0"/>
          <w:sz w:val="21"/>
          <w:szCs w:val="21"/>
        </w:rPr>
        <w:t>The Security Manager reports to the CIO, has authority to set security requirements across both hospitals, and may suspend a system change or vendor connection that creates unacceptable risk to patient safety or data, with escalation to the CEO within 24 hours.</w:t>
      </w:r>
    </w:p>
    <w:p>
      <w:pPr>
        <w:pStyle w:val="ListBullet"/>
        <w:spacing w:after="40"/>
      </w:pPr>
      <w:r>
        <w:rPr>
          <w:rFonts w:ascii="Calibri" w:hAnsi="Calibri" w:cs="Calibri" w:eastAsia="Calibri"/>
          <w:b w:val="0"/>
          <w:i w:val="0"/>
          <w:sz w:val="21"/>
          <w:szCs w:val="21"/>
        </w:rPr>
        <w:t>The Security Manager presents to the Audit Committee twice a year and may request a private session.</w:t>
      </w:r>
    </w:p>
    <w:p>
      <w:pPr>
        <w:pStyle w:val="Heading2"/>
        <w:keepNext/>
        <w:spacing w:before="120" w:after="80"/>
      </w:pPr>
      <w:r>
        <w:rPr>
          <w:rFonts w:ascii="Calibri" w:hAnsi="Calibri" w:cs="Calibri" w:eastAsia="Calibri"/>
          <w:b/>
          <w:i w:val="0"/>
          <w:color w:val="1F3864"/>
          <w:sz w:val="24"/>
          <w:szCs w:val="24"/>
          <w:bCs/>
        </w:rPr>
        <w:t>4.4 Governance Structure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bodies involved, their composition, and reporting lines.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2551"/>
        <w:gridCol w:w="3118"/>
        <w:gridCol w:w="1417"/>
      </w:tblGrid>
      <w:tr>
        <w:trPr>
          <w:tblHeader w:val="true"/>
        </w:trPr>
        <w:tc>
          <w:tcPr>
            <w:tcW w:type="dxa" w:w="2268"/>
            <w:shd w:val="clear" w:color="auto" w:fill="1F3864"/>
          </w:tcPr>
          <w:p>
            <w:r/>
            <w:r>
              <w:rPr>
                <w:rFonts w:ascii="Calibri" w:hAnsi="Calibri" w:cs="Calibri" w:eastAsia="Calibri"/>
                <w:b/>
                <w:i w:val="0"/>
                <w:color w:val="FFFFFF"/>
                <w:sz w:val="18"/>
                <w:szCs w:val="18"/>
                <w:bCs/>
              </w:rPr>
              <w:t>Body</w:t>
            </w:r>
          </w:p>
        </w:tc>
        <w:tc>
          <w:tcPr>
            <w:tcW w:type="dxa" w:w="2551"/>
            <w:shd w:val="clear" w:color="auto" w:fill="1F3864"/>
          </w:tcPr>
          <w:p>
            <w:r/>
            <w:r>
              <w:rPr>
                <w:rFonts w:ascii="Calibri" w:hAnsi="Calibri" w:cs="Calibri" w:eastAsia="Calibri"/>
                <w:b/>
                <w:i w:val="0"/>
                <w:color w:val="FFFFFF"/>
                <w:sz w:val="18"/>
                <w:szCs w:val="18"/>
                <w:bCs/>
              </w:rPr>
              <w:t>Composition</w:t>
            </w:r>
          </w:p>
        </w:tc>
        <w:tc>
          <w:tcPr>
            <w:tcW w:type="dxa" w:w="3118"/>
            <w:shd w:val="clear" w:color="auto" w:fill="1F3864"/>
          </w:tcPr>
          <w:p>
            <w:r/>
            <w:r>
              <w:rPr>
                <w:rFonts w:ascii="Calibri" w:hAnsi="Calibri" w:cs="Calibri" w:eastAsia="Calibri"/>
                <w:b/>
                <w:i w:val="0"/>
                <w:color w:val="FFFFFF"/>
                <w:sz w:val="18"/>
                <w:szCs w:val="18"/>
                <w:bCs/>
              </w:rPr>
              <w:t>Role</w:t>
            </w:r>
          </w:p>
        </w:tc>
        <w:tc>
          <w:tcPr>
            <w:tcW w:type="dxa" w:w="1417"/>
            <w:shd w:val="clear" w:color="auto" w:fill="1F3864"/>
          </w:tcPr>
          <w:p>
            <w:r/>
            <w:r>
              <w:rPr>
                <w:rFonts w:ascii="Calibri" w:hAnsi="Calibri" w:cs="Calibri" w:eastAsia="Calibri"/>
                <w:b/>
                <w:i w:val="0"/>
                <w:color w:val="FFFFFF"/>
                <w:sz w:val="18"/>
                <w:szCs w:val="18"/>
                <w:bCs/>
              </w:rPr>
              <w:t>Frequency</w:t>
            </w:r>
          </w:p>
        </w:tc>
      </w:tr>
      <w:tr>
        <w:tc>
          <w:tcPr>
            <w:tcW w:type="dxa" w:w="2268"/>
          </w:tcPr>
          <w:p>
            <w:r/>
            <w:r>
              <w:rPr>
                <w:rFonts w:ascii="Calibri" w:hAnsi="Calibri" w:cs="Calibri" w:eastAsia="Calibri"/>
                <w:b w:val="0"/>
                <w:i w:val="0"/>
                <w:sz w:val="18"/>
                <w:szCs w:val="18"/>
              </w:rPr>
              <w:t>CMC Audit Committee</w:t>
            </w:r>
          </w:p>
        </w:tc>
        <w:tc>
          <w:tcPr>
            <w:tcW w:type="dxa" w:w="2551"/>
          </w:tcPr>
          <w:p>
            <w:r/>
            <w:r>
              <w:rPr>
                <w:rFonts w:ascii="Calibri" w:hAnsi="Calibri" w:cs="Calibri" w:eastAsia="Calibri"/>
                <w:b w:val="0"/>
                <w:i w:val="0"/>
                <w:sz w:val="18"/>
                <w:szCs w:val="18"/>
              </w:rPr>
              <w:t>Three independent directors</w:t>
            </w:r>
          </w:p>
        </w:tc>
        <w:tc>
          <w:tcPr>
            <w:tcW w:type="dxa" w:w="3118"/>
          </w:tcPr>
          <w:p>
            <w:r/>
            <w:r>
              <w:rPr>
                <w:rFonts w:ascii="Calibri" w:hAnsi="Calibri" w:cs="Calibri" w:eastAsia="Calibri"/>
                <w:b w:val="0"/>
                <w:i w:val="0"/>
                <w:sz w:val="18"/>
                <w:szCs w:val="18"/>
              </w:rPr>
              <w:t>Receives cyber risk reports, approves risk appetite and strategy</w:t>
            </w:r>
          </w:p>
        </w:tc>
        <w:tc>
          <w:tcPr>
            <w:tcW w:type="dxa" w:w="1417"/>
          </w:tcPr>
          <w:p>
            <w:r/>
            <w:r>
              <w:rPr>
                <w:rFonts w:ascii="Calibri" w:hAnsi="Calibri" w:cs="Calibri" w:eastAsia="Calibri"/>
                <w:b w:val="0"/>
                <w:i w:val="0"/>
                <w:sz w:val="18"/>
                <w:szCs w:val="18"/>
              </w:rPr>
              <w:t>Twice a year</w:t>
            </w:r>
          </w:p>
        </w:tc>
      </w:tr>
      <w:tr>
        <w:tc>
          <w:tcPr>
            <w:tcW w:type="dxa" w:w="2268"/>
          </w:tcPr>
          <w:p>
            <w:r/>
            <w:r>
              <w:rPr>
                <w:rFonts w:ascii="Calibri" w:hAnsi="Calibri" w:cs="Calibri" w:eastAsia="Calibri"/>
                <w:b w:val="0"/>
                <w:i w:val="0"/>
                <w:sz w:val="18"/>
                <w:szCs w:val="18"/>
              </w:rPr>
              <w:t>ISSC</w:t>
            </w:r>
          </w:p>
        </w:tc>
        <w:tc>
          <w:tcPr>
            <w:tcW w:type="dxa" w:w="2551"/>
          </w:tcPr>
          <w:p>
            <w:r/>
            <w:r>
              <w:rPr>
                <w:rFonts w:ascii="Calibri" w:hAnsi="Calibri" w:cs="Calibri" w:eastAsia="Calibri"/>
                <w:b w:val="0"/>
                <w:i w:val="0"/>
                <w:sz w:val="18"/>
                <w:szCs w:val="18"/>
              </w:rPr>
              <w:t>CEO (chair), CIO, CFO, Medical Director, Director of Nursing, Security Manager, DPO, Quality and Risk Management Director</w:t>
            </w:r>
          </w:p>
        </w:tc>
        <w:tc>
          <w:tcPr>
            <w:tcW w:type="dxa" w:w="3118"/>
          </w:tcPr>
          <w:p>
            <w:r/>
            <w:r>
              <w:rPr>
                <w:rFonts w:ascii="Calibri" w:hAnsi="Calibri" w:cs="Calibri" w:eastAsia="Calibri"/>
                <w:b w:val="0"/>
                <w:i w:val="0"/>
                <w:sz w:val="18"/>
                <w:szCs w:val="18"/>
              </w:rPr>
              <w:t>Directs the program; approves standards and High exceptions</w:t>
            </w:r>
          </w:p>
        </w:tc>
        <w:tc>
          <w:tcPr>
            <w:tcW w:type="dxa" w:w="1417"/>
          </w:tcPr>
          <w:p>
            <w:r/>
            <w:r>
              <w:rPr>
                <w:rFonts w:ascii="Calibri" w:hAnsi="Calibri" w:cs="Calibri" w:eastAsia="Calibri"/>
                <w:b w:val="0"/>
                <w:i w:val="0"/>
                <w:sz w:val="18"/>
                <w:szCs w:val="18"/>
              </w:rPr>
              <w:t>Quarterly</w:t>
            </w:r>
          </w:p>
        </w:tc>
      </w:tr>
      <w:tr>
        <w:tc>
          <w:tcPr>
            <w:tcW w:type="dxa" w:w="2268"/>
          </w:tcPr>
          <w:p>
            <w:r/>
            <w:r>
              <w:rPr>
                <w:rFonts w:ascii="Calibri" w:hAnsi="Calibri" w:cs="Calibri" w:eastAsia="Calibri"/>
                <w:b w:val="0"/>
                <w:i w:val="0"/>
                <w:sz w:val="18"/>
                <w:szCs w:val="18"/>
              </w:rPr>
              <w:t>Security function</w:t>
            </w:r>
          </w:p>
        </w:tc>
        <w:tc>
          <w:tcPr>
            <w:tcW w:type="dxa" w:w="2551"/>
          </w:tcPr>
          <w:p>
            <w:r/>
            <w:r>
              <w:rPr>
                <w:rFonts w:ascii="Calibri" w:hAnsi="Calibri" w:cs="Calibri" w:eastAsia="Calibri"/>
                <w:b w:val="0"/>
                <w:i w:val="0"/>
                <w:sz w:val="18"/>
                <w:szCs w:val="18"/>
              </w:rPr>
              <w:t>Security Manager plus two security engineers (2026), MSSP for 24x7 monitoring</w:t>
            </w:r>
          </w:p>
        </w:tc>
        <w:tc>
          <w:tcPr>
            <w:tcW w:type="dxa" w:w="3118"/>
          </w:tcPr>
          <w:p>
            <w:r/>
            <w:r>
              <w:rPr>
                <w:rFonts w:ascii="Calibri" w:hAnsi="Calibri" w:cs="Calibri" w:eastAsia="Calibri"/>
                <w:b w:val="0"/>
                <w:i w:val="0"/>
                <w:sz w:val="18"/>
                <w:szCs w:val="18"/>
              </w:rPr>
              <w:t>Runs the program</w:t>
            </w:r>
          </w:p>
        </w:tc>
        <w:tc>
          <w:tcPr>
            <w:tcW w:type="dxa" w:w="1417"/>
          </w:tcPr>
          <w:p>
            <w:r/>
            <w:r>
              <w:rPr>
                <w:rFonts w:ascii="Calibri" w:hAnsi="Calibri" w:cs="Calibri" w:eastAsia="Calibri"/>
                <w:b w:val="0"/>
                <w:i w:val="0"/>
                <w:sz w:val="18"/>
                <w:szCs w:val="18"/>
              </w:rPr>
              <w:t>Ongoing</w:t>
            </w:r>
          </w:p>
        </w:tc>
      </w:tr>
      <w:tr>
        <w:tc>
          <w:tcPr>
            <w:tcW w:type="dxa" w:w="2268"/>
          </w:tcPr>
          <w:p>
            <w:r/>
            <w:r>
              <w:rPr>
                <w:rFonts w:ascii="Calibri" w:hAnsi="Calibri" w:cs="Calibri" w:eastAsia="Calibri"/>
                <w:b w:val="0"/>
                <w:i w:val="0"/>
                <w:sz w:val="18"/>
                <w:szCs w:val="18"/>
              </w:rPr>
              <w:t>Internal Audit</w:t>
            </w:r>
          </w:p>
        </w:tc>
        <w:tc>
          <w:tcPr>
            <w:tcW w:type="dxa" w:w="2551"/>
          </w:tcPr>
          <w:p>
            <w:r/>
            <w:r>
              <w:rPr>
                <w:rFonts w:ascii="Calibri" w:hAnsi="Calibri" w:cs="Calibri" w:eastAsia="Calibri"/>
                <w:b w:val="0"/>
                <w:i w:val="0"/>
                <w:sz w:val="18"/>
                <w:szCs w:val="18"/>
              </w:rPr>
              <w:t>Internal Audit Manager; external assessor for CII audit</w:t>
            </w:r>
          </w:p>
        </w:tc>
        <w:tc>
          <w:tcPr>
            <w:tcW w:type="dxa" w:w="3118"/>
          </w:tcPr>
          <w:p>
            <w:r/>
            <w:r>
              <w:rPr>
                <w:rFonts w:ascii="Calibri" w:hAnsi="Calibri" w:cs="Calibri" w:eastAsia="Calibri"/>
                <w:b w:val="0"/>
                <w:i w:val="0"/>
                <w:sz w:val="18"/>
                <w:szCs w:val="18"/>
              </w:rPr>
              <w:t>Independent assurance</w:t>
            </w:r>
          </w:p>
        </w:tc>
        <w:tc>
          <w:tcPr>
            <w:tcW w:type="dxa" w:w="1417"/>
          </w:tcPr>
          <w:p>
            <w:r/>
            <w:r>
              <w:rPr>
                <w:rFonts w:ascii="Calibri" w:hAnsi="Calibri" w:cs="Calibri" w:eastAsia="Calibri"/>
                <w:b w:val="0"/>
                <w:i w:val="0"/>
                <w:sz w:val="18"/>
                <w:szCs w:val="18"/>
              </w:rPr>
              <w:t>Annual</w:t>
            </w:r>
          </w:p>
        </w:tc>
      </w:tr>
    </w:tbl>
    <w:p>
      <w:pPr>
        <w:spacing w:after="40"/>
      </w:pPr>
    </w:p>
    <w:p>
      <w:pPr>
        <w:pStyle w:val="Heading2"/>
        <w:keepNext/>
        <w:spacing w:before="120" w:after="80"/>
      </w:pPr>
      <w:r>
        <w:rPr>
          <w:rFonts w:ascii="Calibri" w:hAnsi="Calibri" w:cs="Calibri" w:eastAsia="Calibri"/>
          <w:b/>
          <w:i w:val="0"/>
          <w:color w:val="1F3864"/>
          <w:sz w:val="24"/>
          <w:szCs w:val="24"/>
          <w:bCs/>
        </w:rPr>
        <w:t>4.5 Three Lines Model</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Show how first-line, second-line, and third-line responsibilities are separated.</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3402"/>
        <w:gridCol w:w="4252"/>
      </w:tblGrid>
      <w:tr>
        <w:trPr>
          <w:tblHeader w:val="true"/>
        </w:trPr>
        <w:tc>
          <w:tcPr>
            <w:tcW w:type="dxa" w:w="1701"/>
            <w:shd w:val="clear" w:color="auto" w:fill="1F3864"/>
          </w:tcPr>
          <w:p>
            <w:r/>
            <w:r>
              <w:rPr>
                <w:rFonts w:ascii="Calibri" w:hAnsi="Calibri" w:cs="Calibri" w:eastAsia="Calibri"/>
                <w:b/>
                <w:i w:val="0"/>
                <w:color w:val="FFFFFF"/>
                <w:sz w:val="18"/>
                <w:szCs w:val="18"/>
                <w:bCs/>
              </w:rPr>
              <w:t>Line</w:t>
            </w:r>
          </w:p>
        </w:tc>
        <w:tc>
          <w:tcPr>
            <w:tcW w:type="dxa" w:w="3402"/>
            <w:shd w:val="clear" w:color="auto" w:fill="1F3864"/>
          </w:tcPr>
          <w:p>
            <w:r/>
            <w:r>
              <w:rPr>
                <w:rFonts w:ascii="Calibri" w:hAnsi="Calibri" w:cs="Calibri" w:eastAsia="Calibri"/>
                <w:b/>
                <w:i w:val="0"/>
                <w:color w:val="FFFFFF"/>
                <w:sz w:val="18"/>
                <w:szCs w:val="18"/>
                <w:bCs/>
              </w:rPr>
              <w:t>Who</w:t>
            </w:r>
          </w:p>
        </w:tc>
        <w:tc>
          <w:tcPr>
            <w:tcW w:type="dxa" w:w="4252"/>
            <w:shd w:val="clear" w:color="auto" w:fill="1F3864"/>
          </w:tcPr>
          <w:p>
            <w:r/>
            <w:r>
              <w:rPr>
                <w:rFonts w:ascii="Calibri" w:hAnsi="Calibri" w:cs="Calibri" w:eastAsia="Calibri"/>
                <w:b/>
                <w:i w:val="0"/>
                <w:color w:val="FFFFFF"/>
                <w:sz w:val="18"/>
                <w:szCs w:val="18"/>
                <w:bCs/>
              </w:rPr>
              <w:t>Responsibility</w:t>
            </w:r>
          </w:p>
        </w:tc>
      </w:tr>
      <w:tr>
        <w:tc>
          <w:tcPr>
            <w:tcW w:type="dxa" w:w="1701"/>
          </w:tcPr>
          <w:p>
            <w:r/>
            <w:r>
              <w:rPr>
                <w:rFonts w:ascii="Calibri" w:hAnsi="Calibri" w:cs="Calibri" w:eastAsia="Calibri"/>
                <w:b w:val="0"/>
                <w:i w:val="0"/>
                <w:sz w:val="18"/>
                <w:szCs w:val="18"/>
              </w:rPr>
              <w:t>First line</w:t>
            </w:r>
          </w:p>
        </w:tc>
        <w:tc>
          <w:tcPr>
            <w:tcW w:type="dxa" w:w="3402"/>
          </w:tcPr>
          <w:p>
            <w:r/>
            <w:r>
              <w:rPr>
                <w:rFonts w:ascii="Calibri" w:hAnsi="Calibri" w:cs="Calibri" w:eastAsia="Calibri"/>
                <w:b w:val="0"/>
                <w:i w:val="0"/>
                <w:sz w:val="18"/>
                <w:szCs w:val="18"/>
              </w:rPr>
              <w:t>Business units, IT operations, system owners</w:t>
            </w:r>
          </w:p>
        </w:tc>
        <w:tc>
          <w:tcPr>
            <w:tcW w:type="dxa" w:w="4252"/>
          </w:tcPr>
          <w:p>
            <w:r/>
            <w:r>
              <w:rPr>
                <w:rFonts w:ascii="Calibri" w:hAnsi="Calibri" w:cs="Calibri" w:eastAsia="Calibri"/>
                <w:b w:val="0"/>
                <w:i w:val="0"/>
                <w:sz w:val="18"/>
                <w:szCs w:val="18"/>
              </w:rPr>
              <w:t>Own risks and operate controls</w:t>
            </w:r>
          </w:p>
        </w:tc>
      </w:tr>
      <w:tr>
        <w:tc>
          <w:tcPr>
            <w:tcW w:type="dxa" w:w="1701"/>
          </w:tcPr>
          <w:p>
            <w:r/>
            <w:r>
              <w:rPr>
                <w:rFonts w:ascii="Calibri" w:hAnsi="Calibri" w:cs="Calibri" w:eastAsia="Calibri"/>
                <w:b w:val="0"/>
                <w:i w:val="0"/>
                <w:sz w:val="18"/>
                <w:szCs w:val="18"/>
              </w:rPr>
              <w:t>Second line</w:t>
            </w:r>
          </w:p>
        </w:tc>
        <w:tc>
          <w:tcPr>
            <w:tcW w:type="dxa" w:w="3402"/>
          </w:tcPr>
          <w:p>
            <w:r/>
            <w:r>
              <w:rPr>
                <w:rFonts w:ascii="Calibri" w:hAnsi="Calibri" w:cs="Calibri" w:eastAsia="Calibri"/>
                <w:b w:val="0"/>
                <w:i w:val="0"/>
                <w:sz w:val="18"/>
                <w:szCs w:val="18"/>
              </w:rPr>
              <w:t>Security Manager, Data Protection Officer (DPO), Quality and Risk Management Director</w:t>
            </w:r>
          </w:p>
        </w:tc>
        <w:tc>
          <w:tcPr>
            <w:tcW w:type="dxa" w:w="4252"/>
          </w:tcPr>
          <w:p>
            <w:r/>
            <w:r>
              <w:rPr>
                <w:rFonts w:ascii="Calibri" w:hAnsi="Calibri" w:cs="Calibri" w:eastAsia="Calibri"/>
                <w:b w:val="0"/>
                <w:i w:val="0"/>
                <w:sz w:val="18"/>
                <w:szCs w:val="18"/>
              </w:rPr>
              <w:t>Set policy and standards, monitor and challenge</w:t>
            </w:r>
          </w:p>
        </w:tc>
      </w:tr>
      <w:tr>
        <w:tc>
          <w:tcPr>
            <w:tcW w:type="dxa" w:w="1701"/>
          </w:tcPr>
          <w:p>
            <w:r/>
            <w:r>
              <w:rPr>
                <w:rFonts w:ascii="Calibri" w:hAnsi="Calibri" w:cs="Calibri" w:eastAsia="Calibri"/>
                <w:b w:val="0"/>
                <w:i w:val="0"/>
                <w:sz w:val="18"/>
                <w:szCs w:val="18"/>
              </w:rPr>
              <w:t>Third line</w:t>
            </w:r>
          </w:p>
        </w:tc>
        <w:tc>
          <w:tcPr>
            <w:tcW w:type="dxa" w:w="3402"/>
          </w:tcPr>
          <w:p>
            <w:r/>
            <w:r>
              <w:rPr>
                <w:rFonts w:ascii="Calibri" w:hAnsi="Calibri" w:cs="Calibri" w:eastAsia="Calibri"/>
                <w:b w:val="0"/>
                <w:i w:val="0"/>
                <w:sz w:val="18"/>
                <w:szCs w:val="18"/>
              </w:rPr>
              <w:t>Internal Audit Manager</w:t>
            </w:r>
          </w:p>
        </w:tc>
        <w:tc>
          <w:tcPr>
            <w:tcW w:type="dxa" w:w="4252"/>
          </w:tcPr>
          <w:p>
            <w:r/>
            <w:r>
              <w:rPr>
                <w:rFonts w:ascii="Calibri" w:hAnsi="Calibri" w:cs="Calibri" w:eastAsia="Calibri"/>
                <w:b w:val="0"/>
                <w:i w:val="0"/>
                <w:sz w:val="18"/>
                <w:szCs w:val="18"/>
              </w:rPr>
              <w:t>Independent assurance to the CMC Board of Directors</w:t>
            </w:r>
          </w:p>
        </w:tc>
      </w:tr>
    </w:tbl>
    <w:p>
      <w:pPr>
        <w:spacing w:after="40"/>
      </w:pPr>
    </w:p>
    <w:p>
      <w:pPr>
        <w:pStyle w:val="Heading2"/>
        <w:keepNext/>
        <w:spacing w:before="120" w:after="80"/>
      </w:pPr>
      <w:r>
        <w:rPr>
          <w:rFonts w:ascii="Calibri" w:hAnsi="Calibri" w:cs="Calibri" w:eastAsia="Calibri"/>
          <w:b/>
          <w:i w:val="0"/>
          <w:color w:val="1F3864"/>
          <w:sz w:val="24"/>
          <w:szCs w:val="24"/>
          <w:bCs/>
        </w:rPr>
        <w:t>4.6 Reporting to the Board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what the Board receives and how often.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Top cyber risks against risk appetite, with trend.</w:t>
      </w:r>
    </w:p>
    <w:p>
      <w:pPr>
        <w:pStyle w:val="ListBullet"/>
        <w:spacing w:after="40"/>
      </w:pPr>
      <w:r>
        <w:rPr>
          <w:rFonts w:ascii="Calibri" w:hAnsi="Calibri" w:cs="Calibri" w:eastAsia="Calibri"/>
          <w:b w:val="0"/>
          <w:i w:val="0"/>
          <w:sz w:val="21"/>
          <w:szCs w:val="21"/>
        </w:rPr>
        <w:t>Program progress against the strategy and budget.</w:t>
      </w:r>
    </w:p>
    <w:p>
      <w:pPr>
        <w:pStyle w:val="ListBullet"/>
        <w:spacing w:after="40"/>
      </w:pPr>
      <w:r>
        <w:rPr>
          <w:rFonts w:ascii="Calibri" w:hAnsi="Calibri" w:cs="Calibri" w:eastAsia="Calibri"/>
          <w:b w:val="0"/>
          <w:i w:val="0"/>
          <w:sz w:val="21"/>
          <w:szCs w:val="21"/>
        </w:rPr>
        <w:t>Significant incidents and regulatory notifications.</w:t>
      </w:r>
    </w:p>
    <w:p>
      <w:pPr>
        <w:pStyle w:val="ListBullet"/>
        <w:spacing w:after="40"/>
      </w:pPr>
      <w:r>
        <w:rPr>
          <w:rFonts w:ascii="Calibri" w:hAnsi="Calibri" w:cs="Calibri" w:eastAsia="Calibri"/>
          <w:b w:val="0"/>
          <w:i w:val="0"/>
          <w:sz w:val="21"/>
          <w:szCs w:val="21"/>
        </w:rPr>
        <w:t>Audit findings and overdue actions.</w:t>
      </w:r>
    </w:p>
    <w:p>
      <w:pPr>
        <w:pStyle w:val="ListBullet"/>
        <w:spacing w:after="40"/>
      </w:pPr>
      <w:r>
        <w:rPr>
          <w:rFonts w:ascii="Calibri" w:hAnsi="Calibri" w:cs="Calibri" w:eastAsia="Calibri"/>
          <w:b w:val="0"/>
          <w:i w:val="0"/>
          <w:sz w:val="21"/>
          <w:szCs w:val="21"/>
        </w:rPr>
        <w:t>Format: Board Cybersecurity Report Template (GV-TPL-005).</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Give the CISO a reporting path that does not depend only on the CIO, to manage the conflict between delivery speed and security.</w:t>
      </w:r>
    </w:p>
    <w:p>
      <w:pPr>
        <w:pStyle w:val="ListBullet"/>
        <w:spacing w:after="40"/>
      </w:pPr>
      <w:r>
        <w:rPr>
          <w:rFonts w:ascii="Calibri" w:hAnsi="Calibri" w:cs="Calibri" w:eastAsia="Calibri"/>
          <w:b w:val="0"/>
          <w:i w:val="0"/>
          <w:sz w:val="21"/>
          <w:szCs w:val="21"/>
        </w:rPr>
        <w:t>Keep the charter to two or three pages and review it when the organization structure changes.</w:t>
      </w:r>
    </w:p>
    <w:p>
      <w:pPr>
        <w:pStyle w:val="ListBullet"/>
        <w:spacing w:after="40"/>
      </w:pPr>
      <w:r>
        <w:rPr>
          <w:rFonts w:ascii="Calibri" w:hAnsi="Calibri" w:cs="Calibri" w:eastAsia="Calibri"/>
          <w:b w:val="0"/>
          <w:i w:val="0"/>
          <w:sz w:val="21"/>
          <w:szCs w:val="21"/>
        </w:rPr>
        <w:t>Map the charter to CII contact officer duties (CSA s.46) where the organization is designated CII.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Placing the security function under IT operations with no escalation path, so risks are filtered before management sees them.</w:t>
      </w:r>
    </w:p>
    <w:p>
      <w:pPr>
        <w:pStyle w:val="ListBullet"/>
        <w:spacing w:after="40"/>
      </w:pPr>
      <w:r>
        <w:rPr>
          <w:rFonts w:ascii="Calibri" w:hAnsi="Calibri" w:cs="Calibri" w:eastAsia="Calibri"/>
          <w:b w:val="0"/>
          <w:i w:val="0"/>
          <w:sz w:val="21"/>
          <w:szCs w:val="21"/>
        </w:rPr>
        <w:t>Creating a steering committee that never meets or only receives status updates without decisions.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GV.OC-01: Organizational mission is understood and informs cybersecurity risk management</w:t>
            </w:r>
          </w:p>
          <w:p>
            <w:r>
              <w:rPr>
                <w:rFonts w:ascii="Calibri" w:hAnsi="Calibri" w:cs="Calibri" w:eastAsia="Calibri"/>
                <w:b w:val="0"/>
                <w:i w:val="0"/>
                <w:sz w:val="18"/>
                <w:szCs w:val="18"/>
              </w:rPr>
              <w:t>GV.RR-01: Leadership is responsible and accountable for cybersecurity risk and fosters a risk-aware culture</w:t>
            </w:r>
          </w:p>
          <w:p>
            <w:r>
              <w:rPr>
                <w:rFonts w:ascii="Calibri" w:hAnsi="Calibri" w:cs="Calibri" w:eastAsia="Calibri"/>
                <w:b w:val="0"/>
                <w:i w:val="0"/>
                <w:sz w:val="18"/>
                <w:szCs w:val="18"/>
              </w:rPr>
              <w:t>GV.OV-01: Risk management strategy outcomes are reviewed to inform and adjust strategy and direction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5.1, Clause 5.3, Annex A.5.4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 PM-2, PM-29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5.1 and 5.3; CSA s.44 (CII)</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None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GV-STR-001: Cybersecurity Strategy and Roadmap</w:t>
            </w:r>
          </w:p>
          <w:p>
            <w:r>
              <w:rPr>
                <w:rFonts w:ascii="Calibri" w:hAnsi="Calibri" w:cs="Calibri" w:eastAsia="Calibri"/>
                <w:b w:val="0"/>
                <w:i w:val="0"/>
                <w:sz w:val="18"/>
                <w:szCs w:val="18"/>
              </w:rPr>
              <w:t>GV-RPT-001: Organizational Context and ISMS Scope Statement</w:t>
            </w:r>
          </w:p>
          <w:p>
            <w:r>
              <w:rPr>
                <w:rFonts w:ascii="Calibri" w:hAnsi="Calibri" w:cs="Calibri" w:eastAsia="Calibri"/>
                <w:b w:val="0"/>
                <w:i w:val="0"/>
                <w:sz w:val="18"/>
                <w:szCs w:val="18"/>
              </w:rPr>
              <w:t>GV-STM-001: Risk Appetite and Tolerance Statement</w:t>
            </w:r>
          </w:p>
          <w:p>
            <w:r>
              <w:rPr>
                <w:rFonts w:ascii="Calibri" w:hAnsi="Calibri" w:cs="Calibri" w:eastAsia="Calibri"/>
                <w:b w:val="0"/>
                <w:i w:val="0"/>
                <w:sz w:val="18"/>
                <w:szCs w:val="18"/>
              </w:rPr>
              <w:t>GV-CHR-002: Information Security Steering Committee Terms of Reference</w:t>
            </w:r>
          </w:p>
          <w:p>
            <w:r>
              <w:rPr>
                <w:rFonts w:ascii="Calibri" w:hAnsi="Calibri" w:cs="Calibri" w:eastAsia="Calibri"/>
                <w:b w:val="0"/>
                <w:i w:val="0"/>
                <w:sz w:val="18"/>
                <w:szCs w:val="18"/>
              </w:rPr>
              <w:t>GV-REG-003: Cybersecurity Roles, Responsibilities, and RACI Matrix</w:t>
            </w:r>
          </w:p>
          <w:p>
            <w:r>
              <w:rPr>
                <w:rFonts w:ascii="Calibri" w:hAnsi="Calibri" w:cs="Calibri" w:eastAsia="Calibri"/>
                <w:b w:val="0"/>
                <w:i w:val="0"/>
                <w:sz w:val="18"/>
                <w:szCs w:val="18"/>
              </w:rPr>
              <w:t>GV-POL-001: Information Security Policy</w:t>
            </w:r>
          </w:p>
          <w:p>
            <w:r>
              <w:rPr>
                <w:rFonts w:ascii="Calibri" w:hAnsi="Calibri" w:cs="Calibri" w:eastAsia="Calibri"/>
                <w:b w:val="0"/>
                <w:i w:val="0"/>
                <w:sz w:val="18"/>
                <w:szCs w:val="18"/>
              </w:rPr>
              <w:t>GV-PRC-007: Internal Audit Procedure</w:t>
            </w:r>
          </w:p>
          <w:p>
            <w:r>
              <w:rPr>
                <w:rFonts w:ascii="Calibri" w:hAnsi="Calibri" w:cs="Calibri" w:eastAsia="Calibri"/>
                <w:b w:val="0"/>
                <w:i w:val="0"/>
                <w:sz w:val="18"/>
                <w:szCs w:val="18"/>
              </w:rPr>
              <w:t>RC-POL-001: Business Continuity Management Policy</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GV-CHR-001  |  Cybersecurity Governance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