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Legal, Regulatory, and Contractual Requirements Register</w:t>
      </w:r>
    </w:p>
    <w:p>
      <w:pPr>
        <w:spacing w:after="80" w:before="0"/>
      </w:pPr>
      <w:r>
        <w:rPr>
          <w:rFonts w:ascii="Calibri" w:hAnsi="Calibri" w:cs="Calibri" w:eastAsia="Calibri"/>
          <w:b w:val="0"/>
          <w:i w:val="0"/>
          <w:color w:val="595959"/>
          <w:sz w:val="18"/>
          <w:szCs w:val="18"/>
        </w:rPr>
        <w:t>GV-REG-001  |  Register  |  Organizational Context (GV.OC)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GV-REG-001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Legal, Regulatory, and Contractual Requirements Register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Legal Counsel</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7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 and on legal change</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7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Organizational Context (GV.OC)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5.31; PDPA; CSA</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Evidence, Legal and Regulatory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22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Legal Counsel</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7 May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Legal Counsel</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lists the legal, regulatory, and contractual cybersecurity and privacy requirements that apply to Chaophraya Medical Center (CMC), their owners, and how compliance is shown (GV.OC-03).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(GV-RPT-001)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Req. ID</w:t>
            </w:r>
          </w:p>
        </w:tc>
        <w:tc>
          <w:tcPr>
            <w:tcW w:type="dxa" w:w="4535"/>
          </w:tcPr>
          <w:p>
            <w:r/>
            <w:r>
              <w:rPr>
                <w:rFonts w:ascii="Calibri" w:hAnsi="Calibri" w:cs="Calibri" w:eastAsia="Calibri"/>
                <w:b w:val="0"/>
                <w:i w:val="0"/>
                <w:sz w:val="18"/>
                <w:szCs w:val="18"/>
              </w:rPr>
              <w:t>Unique reference.</w:t>
            </w:r>
          </w:p>
        </w:tc>
        <w:tc>
          <w:tcPr>
            <w:tcW w:type="dxa" w:w="2551"/>
          </w:tcPr>
          <w:p>
            <w:r/>
            <w:r>
              <w:rPr>
                <w:rFonts w:ascii="Calibri" w:hAnsi="Calibri" w:cs="Calibri" w:eastAsia="Calibri"/>
                <w:b w:val="0"/>
                <w:i w:val="0"/>
                <w:sz w:val="18"/>
                <w:szCs w:val="18"/>
              </w:rPr>
              <w:t>LR-01</w:t>
            </w:r>
          </w:p>
        </w:tc>
      </w:tr>
      <w:tr>
        <w:tc>
          <w:tcPr>
            <w:tcW w:type="dxa" w:w="2268"/>
          </w:tcPr>
          <w:p>
            <w:r/>
            <w:r>
              <w:rPr>
                <w:rFonts w:ascii="Calibri" w:hAnsi="Calibri" w:cs="Calibri" w:eastAsia="Calibri"/>
                <w:b w:val="0"/>
                <w:i w:val="0"/>
                <w:sz w:val="18"/>
                <w:szCs w:val="18"/>
              </w:rPr>
              <w:t>Source</w:t>
            </w:r>
          </w:p>
        </w:tc>
        <w:tc>
          <w:tcPr>
            <w:tcW w:type="dxa" w:w="4535"/>
          </w:tcPr>
          <w:p>
            <w:r/>
            <w:r>
              <w:rPr>
                <w:rFonts w:ascii="Calibri" w:hAnsi="Calibri" w:cs="Calibri" w:eastAsia="Calibri"/>
                <w:b w:val="0"/>
                <w:i w:val="0"/>
                <w:sz w:val="18"/>
                <w:szCs w:val="18"/>
              </w:rPr>
              <w:t>Law, regulation, standard, or contract and section.</w:t>
            </w:r>
          </w:p>
        </w:tc>
        <w:tc>
          <w:tcPr>
            <w:tcW w:type="dxa" w:w="2551"/>
          </w:tcPr>
          <w:p>
            <w:r/>
            <w:r>
              <w:rPr>
                <w:rFonts w:ascii="Calibri" w:hAnsi="Calibri" w:cs="Calibri" w:eastAsia="Calibri"/>
                <w:b w:val="0"/>
                <w:i w:val="0"/>
                <w:sz w:val="18"/>
                <w:szCs w:val="18"/>
              </w:rPr>
              <w:t>PDPA s.37(4)</w:t>
            </w:r>
          </w:p>
        </w:tc>
      </w:tr>
      <w:tr>
        <w:tc>
          <w:tcPr>
            <w:tcW w:type="dxa" w:w="2268"/>
          </w:tcPr>
          <w:p>
            <w:r/>
            <w:r>
              <w:rPr>
                <w:rFonts w:ascii="Calibri" w:hAnsi="Calibri" w:cs="Calibri" w:eastAsia="Calibri"/>
                <w:b w:val="0"/>
                <w:i w:val="0"/>
                <w:sz w:val="18"/>
                <w:szCs w:val="18"/>
              </w:rPr>
              <w:t>Requirement</w:t>
            </w:r>
          </w:p>
        </w:tc>
        <w:tc>
          <w:tcPr>
            <w:tcW w:type="dxa" w:w="4535"/>
          </w:tcPr>
          <w:p>
            <w:r/>
            <w:r>
              <w:rPr>
                <w:rFonts w:ascii="Calibri" w:hAnsi="Calibri" w:cs="Calibri" w:eastAsia="Calibri"/>
                <w:b w:val="0"/>
                <w:i w:val="0"/>
                <w:sz w:val="18"/>
                <w:szCs w:val="18"/>
              </w:rPr>
              <w:t>Plain-language obligation.</w:t>
            </w:r>
          </w:p>
        </w:tc>
        <w:tc>
          <w:tcPr>
            <w:tcW w:type="dxa" w:w="2551"/>
          </w:tcPr>
          <w:p>
            <w:r/>
            <w:r>
              <w:rPr>
                <w:rFonts w:ascii="Calibri" w:hAnsi="Calibri" w:cs="Calibri" w:eastAsia="Calibri"/>
                <w:b w:val="0"/>
                <w:i w:val="0"/>
                <w:sz w:val="18"/>
                <w:szCs w:val="18"/>
              </w:rPr>
              <w:t>Notify PDPC of breach within 72 hours</w:t>
            </w:r>
          </w:p>
        </w:tc>
      </w:tr>
      <w:tr>
        <w:tc>
          <w:tcPr>
            <w:tcW w:type="dxa" w:w="2268"/>
          </w:tcPr>
          <w:p>
            <w:r/>
            <w:r>
              <w:rPr>
                <w:rFonts w:ascii="Calibri" w:hAnsi="Calibri" w:cs="Calibri" w:eastAsia="Calibri"/>
                <w:b w:val="0"/>
                <w:i w:val="0"/>
                <w:sz w:val="18"/>
                <w:szCs w:val="18"/>
              </w:rPr>
              <w:t>Applicability</w:t>
            </w:r>
          </w:p>
        </w:tc>
        <w:tc>
          <w:tcPr>
            <w:tcW w:type="dxa" w:w="4535"/>
          </w:tcPr>
          <w:p>
            <w:r/>
            <w:r>
              <w:rPr>
                <w:rFonts w:ascii="Calibri" w:hAnsi="Calibri" w:cs="Calibri" w:eastAsia="Calibri"/>
                <w:b w:val="0"/>
                <w:i w:val="0"/>
                <w:sz w:val="18"/>
                <w:szCs w:val="18"/>
              </w:rPr>
              <w:t>Why and to which units it applies.</w:t>
            </w:r>
          </w:p>
        </w:tc>
        <w:tc>
          <w:tcPr>
            <w:tcW w:type="dxa" w:w="2551"/>
          </w:tcPr>
          <w:p>
            <w:r/>
          </w:p>
        </w:tc>
      </w:tr>
      <w:tr>
        <w:tc>
          <w:tcPr>
            <w:tcW w:type="dxa" w:w="2268"/>
          </w:tcPr>
          <w:p>
            <w:r/>
            <w:r>
              <w:rPr>
                <w:rFonts w:ascii="Calibri" w:hAnsi="Calibri" w:cs="Calibri" w:eastAsia="Calibri"/>
                <w:b w:val="0"/>
                <w:i w:val="0"/>
                <w:sz w:val="18"/>
                <w:szCs w:val="18"/>
              </w:rPr>
              <w:t>Owner</w:t>
            </w:r>
          </w:p>
        </w:tc>
        <w:tc>
          <w:tcPr>
            <w:tcW w:type="dxa" w:w="4535"/>
          </w:tcPr>
          <w:p>
            <w:r/>
            <w:r>
              <w:rPr>
                <w:rFonts w:ascii="Calibri" w:hAnsi="Calibri" w:cs="Calibri" w:eastAsia="Calibri"/>
                <w:b w:val="0"/>
                <w:i w:val="0"/>
                <w:sz w:val="18"/>
                <w:szCs w:val="18"/>
              </w:rPr>
              <w:t>Accountable role.</w:t>
            </w:r>
          </w:p>
        </w:tc>
        <w:tc>
          <w:tcPr>
            <w:tcW w:type="dxa" w:w="2551"/>
          </w:tcPr>
          <w:p>
            <w:r/>
            <w:r>
              <w:rPr>
                <w:rFonts w:ascii="Calibri" w:hAnsi="Calibri" w:cs="Calibri" w:eastAsia="Calibri"/>
                <w:b w:val="0"/>
                <w:i w:val="0"/>
                <w:sz w:val="18"/>
                <w:szCs w:val="18"/>
              </w:rPr>
              <w:t>DPO</w:t>
            </w:r>
          </w:p>
        </w:tc>
      </w:tr>
      <w:tr>
        <w:tc>
          <w:tcPr>
            <w:tcW w:type="dxa" w:w="2268"/>
          </w:tcPr>
          <w:p>
            <w:r/>
            <w:r>
              <w:rPr>
                <w:rFonts w:ascii="Calibri" w:hAnsi="Calibri" w:cs="Calibri" w:eastAsia="Calibri"/>
                <w:b w:val="0"/>
                <w:i w:val="0"/>
                <w:sz w:val="18"/>
                <w:szCs w:val="18"/>
              </w:rPr>
              <w:t>Implementing documents</w:t>
            </w:r>
          </w:p>
        </w:tc>
        <w:tc>
          <w:tcPr>
            <w:tcW w:type="dxa" w:w="4535"/>
          </w:tcPr>
          <w:p>
            <w:r/>
            <w:r>
              <w:rPr>
                <w:rFonts w:ascii="Calibri" w:hAnsi="Calibri" w:cs="Calibri" w:eastAsia="Calibri"/>
                <w:b w:val="0"/>
                <w:i w:val="0"/>
                <w:sz w:val="18"/>
                <w:szCs w:val="18"/>
              </w:rPr>
              <w:t>Document IDs.</w:t>
            </w:r>
          </w:p>
        </w:tc>
        <w:tc>
          <w:tcPr>
            <w:tcW w:type="dxa" w:w="2551"/>
          </w:tcPr>
          <w:p>
            <w:r/>
            <w:r>
              <w:rPr>
                <w:rFonts w:ascii="Calibri" w:hAnsi="Calibri" w:cs="Calibri" w:eastAsia="Calibri"/>
                <w:b w:val="0"/>
                <w:i w:val="0"/>
                <w:sz w:val="18"/>
                <w:szCs w:val="18"/>
              </w:rPr>
              <w:t>RS-PRC-003</w:t>
            </w:r>
          </w:p>
        </w:tc>
      </w:tr>
      <w:tr>
        <w:tc>
          <w:tcPr>
            <w:tcW w:type="dxa" w:w="2268"/>
          </w:tcPr>
          <w:p>
            <w:r/>
            <w:r>
              <w:rPr>
                <w:rFonts w:ascii="Calibri" w:hAnsi="Calibri" w:cs="Calibri" w:eastAsia="Calibri"/>
                <w:b w:val="0"/>
                <w:i w:val="0"/>
                <w:sz w:val="18"/>
                <w:szCs w:val="18"/>
              </w:rPr>
              <w:t>Compliance status</w:t>
            </w:r>
          </w:p>
        </w:tc>
        <w:tc>
          <w:tcPr>
            <w:tcW w:type="dxa" w:w="4535"/>
          </w:tcPr>
          <w:p>
            <w:r/>
            <w:r>
              <w:rPr>
                <w:rFonts w:ascii="Calibri" w:hAnsi="Calibri" w:cs="Calibri" w:eastAsia="Calibri"/>
                <w:b w:val="0"/>
                <w:i w:val="0"/>
                <w:sz w:val="18"/>
                <w:szCs w:val="18"/>
              </w:rPr>
              <w:t>Compliant, Partial, Gap.</w:t>
            </w:r>
          </w:p>
        </w:tc>
        <w:tc>
          <w:tcPr>
            <w:tcW w:type="dxa" w:w="2551"/>
          </w:tcPr>
          <w:p>
            <w:r/>
            <w:r>
              <w:rPr>
                <w:rFonts w:ascii="Calibri" w:hAnsi="Calibri" w:cs="Calibri" w:eastAsia="Calibri"/>
                <w:b w:val="0"/>
                <w:i w:val="0"/>
                <w:sz w:val="18"/>
                <w:szCs w:val="18"/>
              </w:rPr>
              <w:t>Compliant</w:t>
            </w:r>
          </w:p>
        </w:tc>
      </w:tr>
      <w:tr>
        <w:tc>
          <w:tcPr>
            <w:tcW w:type="dxa" w:w="2268"/>
          </w:tcPr>
          <w:p>
            <w:r/>
            <w:r>
              <w:rPr>
                <w:rFonts w:ascii="Calibri" w:hAnsi="Calibri" w:cs="Calibri" w:eastAsia="Calibri"/>
                <w:b w:val="0"/>
                <w:i w:val="0"/>
                <w:sz w:val="18"/>
                <w:szCs w:val="18"/>
              </w:rPr>
              <w:t>Last reviewed</w:t>
            </w:r>
          </w:p>
        </w:tc>
        <w:tc>
          <w:tcPr>
            <w:tcW w:type="dxa" w:w="4535"/>
          </w:tcPr>
          <w:p>
            <w:r/>
            <w:r>
              <w:rPr>
                <w:rFonts w:ascii="Calibri" w:hAnsi="Calibri" w:cs="Calibri" w:eastAsia="Calibri"/>
                <w:b w:val="0"/>
                <w:i w:val="0"/>
                <w:sz w:val="18"/>
                <w:szCs w:val="18"/>
              </w:rPr>
              <w:t>Date checked against current law.</w:t>
            </w:r>
          </w:p>
        </w:tc>
        <w:tc>
          <w:tcPr>
            <w:tcW w:type="dxa" w:w="2551"/>
          </w:tcPr>
          <w:p>
            <w:r/>
            <w:r>
              <w:rPr>
                <w:rFonts w:ascii="Calibri" w:hAnsi="Calibri" w:cs="Calibri" w:eastAsia="Calibri"/>
                <w:b w:val="0"/>
                <w:i w:val="0"/>
                <w:sz w:val="18"/>
                <w:szCs w:val="18"/>
              </w:rPr>
              <w:t>01/2026</w:t>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892"/>
        <w:gridCol w:w="1892"/>
        <w:gridCol w:w="1892"/>
        <w:gridCol w:w="1892"/>
        <w:gridCol w:w="1892"/>
        <w:gridCol w:w="1892"/>
        <w:gridCol w:w="1892"/>
        <w:gridCol w:w="1892"/>
      </w:tblGrid>
      <w:tr>
        <w:trPr>
          <w:tblHeader w:val="true"/>
        </w:trPr>
        <w:tc>
          <w:tcPr>
            <w:tcW w:type="dxa" w:w="1892"/>
            <w:shd w:val="clear" w:color="auto" w:fill="1F3864"/>
          </w:tcPr>
          <w:p>
            <w:r/>
            <w:r>
              <w:rPr>
                <w:rFonts w:ascii="Calibri" w:hAnsi="Calibri" w:cs="Calibri" w:eastAsia="Calibri"/>
                <w:b/>
                <w:i w:val="0"/>
                <w:color w:val="FFFFFF"/>
                <w:sz w:val="16"/>
                <w:szCs w:val="16"/>
                <w:bCs/>
              </w:rPr>
              <w:t>Req. ID</w:t>
            </w:r>
          </w:p>
        </w:tc>
        <w:tc>
          <w:tcPr>
            <w:tcW w:type="dxa" w:w="1892"/>
            <w:shd w:val="clear" w:color="auto" w:fill="1F3864"/>
          </w:tcPr>
          <w:p>
            <w:r/>
            <w:r>
              <w:rPr>
                <w:rFonts w:ascii="Calibri" w:hAnsi="Calibri" w:cs="Calibri" w:eastAsia="Calibri"/>
                <w:b/>
                <w:i w:val="0"/>
                <w:color w:val="FFFFFF"/>
                <w:sz w:val="16"/>
                <w:szCs w:val="16"/>
                <w:bCs/>
              </w:rPr>
              <w:t>Source</w:t>
            </w:r>
          </w:p>
        </w:tc>
        <w:tc>
          <w:tcPr>
            <w:tcW w:type="dxa" w:w="1892"/>
            <w:shd w:val="clear" w:color="auto" w:fill="1F3864"/>
          </w:tcPr>
          <w:p>
            <w:r/>
            <w:r>
              <w:rPr>
                <w:rFonts w:ascii="Calibri" w:hAnsi="Calibri" w:cs="Calibri" w:eastAsia="Calibri"/>
                <w:b/>
                <w:i w:val="0"/>
                <w:color w:val="FFFFFF"/>
                <w:sz w:val="16"/>
                <w:szCs w:val="16"/>
                <w:bCs/>
              </w:rPr>
              <w:t>Requirement</w:t>
            </w:r>
          </w:p>
        </w:tc>
        <w:tc>
          <w:tcPr>
            <w:tcW w:type="dxa" w:w="1892"/>
            <w:shd w:val="clear" w:color="auto" w:fill="1F3864"/>
          </w:tcPr>
          <w:p>
            <w:r/>
            <w:r>
              <w:rPr>
                <w:rFonts w:ascii="Calibri" w:hAnsi="Calibri" w:cs="Calibri" w:eastAsia="Calibri"/>
                <w:b/>
                <w:i w:val="0"/>
                <w:color w:val="FFFFFF"/>
                <w:sz w:val="16"/>
                <w:szCs w:val="16"/>
                <w:bCs/>
              </w:rPr>
              <w:t>Applicability</w:t>
            </w:r>
          </w:p>
        </w:tc>
        <w:tc>
          <w:tcPr>
            <w:tcW w:type="dxa" w:w="1892"/>
            <w:shd w:val="clear" w:color="auto" w:fill="1F3864"/>
          </w:tcPr>
          <w:p>
            <w:r/>
            <w:r>
              <w:rPr>
                <w:rFonts w:ascii="Calibri" w:hAnsi="Calibri" w:cs="Calibri" w:eastAsia="Calibri"/>
                <w:b/>
                <w:i w:val="0"/>
                <w:color w:val="FFFFFF"/>
                <w:sz w:val="16"/>
                <w:szCs w:val="16"/>
                <w:bCs/>
              </w:rPr>
              <w:t>Owner</w:t>
            </w:r>
          </w:p>
        </w:tc>
        <w:tc>
          <w:tcPr>
            <w:tcW w:type="dxa" w:w="1892"/>
            <w:shd w:val="clear" w:color="auto" w:fill="1F3864"/>
          </w:tcPr>
          <w:p>
            <w:r/>
            <w:r>
              <w:rPr>
                <w:rFonts w:ascii="Calibri" w:hAnsi="Calibri" w:cs="Calibri" w:eastAsia="Calibri"/>
                <w:b/>
                <w:i w:val="0"/>
                <w:color w:val="FFFFFF"/>
                <w:sz w:val="16"/>
                <w:szCs w:val="16"/>
                <w:bCs/>
              </w:rPr>
              <w:t>Implementing documents</w:t>
            </w:r>
          </w:p>
        </w:tc>
        <w:tc>
          <w:tcPr>
            <w:tcW w:type="dxa" w:w="1892"/>
            <w:shd w:val="clear" w:color="auto" w:fill="1F3864"/>
          </w:tcPr>
          <w:p>
            <w:r/>
            <w:r>
              <w:rPr>
                <w:rFonts w:ascii="Calibri" w:hAnsi="Calibri" w:cs="Calibri" w:eastAsia="Calibri"/>
                <w:b/>
                <w:i w:val="0"/>
                <w:color w:val="FFFFFF"/>
                <w:sz w:val="16"/>
                <w:szCs w:val="16"/>
                <w:bCs/>
              </w:rPr>
              <w:t>Compliance status</w:t>
            </w:r>
          </w:p>
        </w:tc>
        <w:tc>
          <w:tcPr>
            <w:tcW w:type="dxa" w:w="1892"/>
            <w:shd w:val="clear" w:color="auto" w:fill="1F3864"/>
          </w:tcPr>
          <w:p>
            <w:r/>
            <w:r>
              <w:rPr>
                <w:rFonts w:ascii="Calibri" w:hAnsi="Calibri" w:cs="Calibri" w:eastAsia="Calibri"/>
                <w:b/>
                <w:i w:val="0"/>
                <w:color w:val="FFFFFF"/>
                <w:sz w:val="16"/>
                <w:szCs w:val="16"/>
                <w:bCs/>
              </w:rPr>
              <w:t>Last reviewed</w:t>
            </w:r>
          </w:p>
        </w:tc>
      </w:tr>
      <w:tr>
        <w:tc>
          <w:tcPr>
            <w:tcW w:type="dxa" w:w="1892"/>
          </w:tcPr>
          <w:p>
            <w:r/>
            <w:r>
              <w:rPr>
                <w:rFonts w:ascii="Calibri" w:hAnsi="Calibri" w:cs="Calibri" w:eastAsia="Calibri"/>
                <w:b w:val="0"/>
                <w:i w:val="0"/>
                <w:sz w:val="16"/>
                <w:szCs w:val="16"/>
              </w:rPr>
              <w:t>LR-01</w:t>
            </w:r>
          </w:p>
        </w:tc>
        <w:tc>
          <w:tcPr>
            <w:tcW w:type="dxa" w:w="1892"/>
          </w:tcPr>
          <w:p>
            <w:r/>
            <w:r>
              <w:rPr>
                <w:rFonts w:ascii="Calibri" w:hAnsi="Calibri" w:cs="Calibri" w:eastAsia="Calibri"/>
                <w:b w:val="0"/>
                <w:i w:val="0"/>
                <w:sz w:val="16"/>
                <w:szCs w:val="16"/>
              </w:rPr>
              <w:t>PDPA s.37(1); PDPC Notification on Security Measures B.E. 2565</w:t>
            </w:r>
          </w:p>
        </w:tc>
        <w:tc>
          <w:tcPr>
            <w:tcW w:type="dxa" w:w="1892"/>
          </w:tcPr>
          <w:p>
            <w:r/>
            <w:r>
              <w:rPr>
                <w:rFonts w:ascii="Calibri" w:hAnsi="Calibri" w:cs="Calibri" w:eastAsia="Calibri"/>
                <w:b w:val="0"/>
                <w:i w:val="0"/>
                <w:sz w:val="16"/>
                <w:szCs w:val="16"/>
              </w:rPr>
              <w:t>Apply appropriate security measures for personal data</w:t>
            </w:r>
          </w:p>
        </w:tc>
        <w:tc>
          <w:tcPr>
            <w:tcW w:type="dxa" w:w="1892"/>
          </w:tcPr>
          <w:p>
            <w:r/>
            <w:r>
              <w:rPr>
                <w:rFonts w:ascii="Calibri" w:hAnsi="Calibri" w:cs="Calibri" w:eastAsia="Calibri"/>
                <w:b w:val="0"/>
                <w:i w:val="0"/>
                <w:sz w:val="16"/>
                <w:szCs w:val="16"/>
              </w:rPr>
              <w:t>All units</w:t>
            </w:r>
          </w:p>
        </w:tc>
        <w:tc>
          <w:tcPr>
            <w:tcW w:type="dxa" w:w="1892"/>
          </w:tcPr>
          <w:p>
            <w:r/>
            <w:r>
              <w:rPr>
                <w:rFonts w:ascii="Calibri" w:hAnsi="Calibri" w:cs="Calibri" w:eastAsia="Calibri"/>
                <w:b w:val="0"/>
                <w:i w:val="0"/>
                <w:sz w:val="16"/>
                <w:szCs w:val="16"/>
              </w:rPr>
              <w:t>Security Manager</w:t>
            </w:r>
          </w:p>
        </w:tc>
        <w:tc>
          <w:tcPr>
            <w:tcW w:type="dxa" w:w="1892"/>
          </w:tcPr>
          <w:p>
            <w:r/>
            <w:r>
              <w:rPr>
                <w:rFonts w:ascii="Calibri" w:hAnsi="Calibri" w:cs="Calibri" w:eastAsia="Calibri"/>
                <w:b w:val="0"/>
                <w:i w:val="0"/>
                <w:sz w:val="16"/>
                <w:szCs w:val="16"/>
              </w:rPr>
              <w:t>GV-POL-001, PR-POL-001</w:t>
            </w:r>
          </w:p>
        </w:tc>
        <w:tc>
          <w:tcPr>
            <w:tcW w:type="dxa" w:w="1892"/>
          </w:tcPr>
          <w:p>
            <w:r/>
            <w:r>
              <w:rPr>
                <w:rFonts w:ascii="Calibri" w:hAnsi="Calibri" w:cs="Calibri" w:eastAsia="Calibri"/>
                <w:b w:val="0"/>
                <w:i w:val="0"/>
                <w:sz w:val="16"/>
                <w:szCs w:val="16"/>
              </w:rPr>
              <w:t>Partial</w:t>
            </w:r>
          </w:p>
        </w:tc>
        <w:tc>
          <w:tcPr>
            <w:tcW w:type="dxa" w:w="1892"/>
          </w:tcPr>
          <w:p>
            <w:r/>
            <w:r>
              <w:rPr>
                <w:rFonts w:ascii="Calibri" w:hAnsi="Calibri" w:cs="Calibri" w:eastAsia="Calibri"/>
                <w:b w:val="0"/>
                <w:i w:val="0"/>
                <w:sz w:val="16"/>
                <w:szCs w:val="16"/>
              </w:rPr>
              <w:t>01/2026</w:t>
            </w:r>
          </w:p>
        </w:tc>
      </w:tr>
      <w:tr>
        <w:tc>
          <w:tcPr>
            <w:tcW w:type="dxa" w:w="1892"/>
          </w:tcPr>
          <w:p>
            <w:r/>
            <w:r>
              <w:rPr>
                <w:rFonts w:ascii="Calibri" w:hAnsi="Calibri" w:cs="Calibri" w:eastAsia="Calibri"/>
                <w:b w:val="0"/>
                <w:i w:val="0"/>
                <w:sz w:val="16"/>
                <w:szCs w:val="16"/>
              </w:rPr>
              <w:t>LR-02</w:t>
            </w:r>
          </w:p>
        </w:tc>
        <w:tc>
          <w:tcPr>
            <w:tcW w:type="dxa" w:w="1892"/>
          </w:tcPr>
          <w:p>
            <w:r/>
            <w:r>
              <w:rPr>
                <w:rFonts w:ascii="Calibri" w:hAnsi="Calibri" w:cs="Calibri" w:eastAsia="Calibri"/>
                <w:b w:val="0"/>
                <w:i w:val="0"/>
                <w:sz w:val="16"/>
                <w:szCs w:val="16"/>
              </w:rPr>
              <w:t>PDPA s.37(4)</w:t>
            </w:r>
          </w:p>
        </w:tc>
        <w:tc>
          <w:tcPr>
            <w:tcW w:type="dxa" w:w="1892"/>
          </w:tcPr>
          <w:p>
            <w:r/>
            <w:r>
              <w:rPr>
                <w:rFonts w:ascii="Calibri" w:hAnsi="Calibri" w:cs="Calibri" w:eastAsia="Calibri"/>
                <w:b w:val="0"/>
                <w:i w:val="0"/>
                <w:sz w:val="16"/>
                <w:szCs w:val="16"/>
              </w:rPr>
              <w:t>Notify PDPC within 72 hours of a breach; notify data subjects if high risk</w:t>
            </w:r>
          </w:p>
        </w:tc>
        <w:tc>
          <w:tcPr>
            <w:tcW w:type="dxa" w:w="1892"/>
          </w:tcPr>
          <w:p>
            <w:r/>
            <w:r>
              <w:rPr>
                <w:rFonts w:ascii="Calibri" w:hAnsi="Calibri" w:cs="Calibri" w:eastAsia="Calibri"/>
                <w:b w:val="0"/>
                <w:i w:val="0"/>
                <w:sz w:val="16"/>
                <w:szCs w:val="16"/>
              </w:rPr>
              <w:t>All units</w:t>
            </w:r>
          </w:p>
        </w:tc>
        <w:tc>
          <w:tcPr>
            <w:tcW w:type="dxa" w:w="1892"/>
          </w:tcPr>
          <w:p>
            <w:r/>
            <w:r>
              <w:rPr>
                <w:rFonts w:ascii="Calibri" w:hAnsi="Calibri" w:cs="Calibri" w:eastAsia="Calibri"/>
                <w:b w:val="0"/>
                <w:i w:val="0"/>
                <w:sz w:val="16"/>
                <w:szCs w:val="16"/>
              </w:rPr>
              <w:t>DPO</w:t>
            </w:r>
          </w:p>
        </w:tc>
        <w:tc>
          <w:tcPr>
            <w:tcW w:type="dxa" w:w="1892"/>
          </w:tcPr>
          <w:p>
            <w:r/>
            <w:r>
              <w:rPr>
                <w:rFonts w:ascii="Calibri" w:hAnsi="Calibri" w:cs="Calibri" w:eastAsia="Calibri"/>
                <w:b w:val="0"/>
                <w:i w:val="0"/>
                <w:sz w:val="16"/>
                <w:szCs w:val="16"/>
              </w:rPr>
              <w:t>RS-PLB-003, RS-PRC-003</w:t>
            </w:r>
          </w:p>
        </w:tc>
        <w:tc>
          <w:tcPr>
            <w:tcW w:type="dxa" w:w="1892"/>
          </w:tcPr>
          <w:p>
            <w:r/>
            <w:r>
              <w:rPr>
                <w:rFonts w:ascii="Calibri" w:hAnsi="Calibri" w:cs="Calibri" w:eastAsia="Calibri"/>
                <w:b w:val="0"/>
                <w:i w:val="0"/>
                <w:sz w:val="16"/>
                <w:szCs w:val="16"/>
              </w:rPr>
              <w:t>Compliant</w:t>
            </w:r>
          </w:p>
        </w:tc>
        <w:tc>
          <w:tcPr>
            <w:tcW w:type="dxa" w:w="1892"/>
          </w:tcPr>
          <w:p>
            <w:r/>
            <w:r>
              <w:rPr>
                <w:rFonts w:ascii="Calibri" w:hAnsi="Calibri" w:cs="Calibri" w:eastAsia="Calibri"/>
                <w:b w:val="0"/>
                <w:i w:val="0"/>
                <w:sz w:val="16"/>
                <w:szCs w:val="16"/>
              </w:rPr>
              <w:t>01/2026</w:t>
            </w:r>
          </w:p>
        </w:tc>
      </w:tr>
      <w:tr>
        <w:tc>
          <w:tcPr>
            <w:tcW w:type="dxa" w:w="1892"/>
          </w:tcPr>
          <w:p>
            <w:r/>
            <w:r>
              <w:rPr>
                <w:rFonts w:ascii="Calibri" w:hAnsi="Calibri" w:cs="Calibri" w:eastAsia="Calibri"/>
                <w:b w:val="0"/>
                <w:i w:val="0"/>
                <w:sz w:val="16"/>
                <w:szCs w:val="16"/>
              </w:rPr>
              <w:t>LR-03</w:t>
            </w:r>
          </w:p>
        </w:tc>
        <w:tc>
          <w:tcPr>
            <w:tcW w:type="dxa" w:w="1892"/>
          </w:tcPr>
          <w:p>
            <w:r/>
            <w:r>
              <w:rPr>
                <w:rFonts w:ascii="Calibri" w:hAnsi="Calibri" w:cs="Calibri" w:eastAsia="Calibri"/>
                <w:b w:val="0"/>
                <w:i w:val="0"/>
                <w:sz w:val="16"/>
                <w:szCs w:val="16"/>
              </w:rPr>
              <w:t>PDPA s.39</w:t>
            </w:r>
          </w:p>
        </w:tc>
        <w:tc>
          <w:tcPr>
            <w:tcW w:type="dxa" w:w="1892"/>
          </w:tcPr>
          <w:p>
            <w:r/>
            <w:r>
              <w:rPr>
                <w:rFonts w:ascii="Calibri" w:hAnsi="Calibri" w:cs="Calibri" w:eastAsia="Calibri"/>
                <w:b w:val="0"/>
                <w:i w:val="0"/>
                <w:sz w:val="16"/>
                <w:szCs w:val="16"/>
              </w:rPr>
              <w:t>Maintain a record of processing activities</w:t>
            </w:r>
          </w:p>
        </w:tc>
        <w:tc>
          <w:tcPr>
            <w:tcW w:type="dxa" w:w="1892"/>
          </w:tcPr>
          <w:p>
            <w:r/>
            <w:r>
              <w:rPr>
                <w:rFonts w:ascii="Calibri" w:hAnsi="Calibri" w:cs="Calibri" w:eastAsia="Calibri"/>
                <w:b w:val="0"/>
                <w:i w:val="0"/>
                <w:sz w:val="16"/>
                <w:szCs w:val="16"/>
              </w:rPr>
              <w:t>All units</w:t>
            </w:r>
          </w:p>
        </w:tc>
        <w:tc>
          <w:tcPr>
            <w:tcW w:type="dxa" w:w="1892"/>
          </w:tcPr>
          <w:p>
            <w:r/>
            <w:r>
              <w:rPr>
                <w:rFonts w:ascii="Calibri" w:hAnsi="Calibri" w:cs="Calibri" w:eastAsia="Calibri"/>
                <w:b w:val="0"/>
                <w:i w:val="0"/>
                <w:sz w:val="16"/>
                <w:szCs w:val="16"/>
              </w:rPr>
              <w:t>DPO</w:t>
            </w:r>
          </w:p>
        </w:tc>
        <w:tc>
          <w:tcPr>
            <w:tcW w:type="dxa" w:w="1892"/>
          </w:tcPr>
          <w:p>
            <w:r/>
            <w:r>
              <w:rPr>
                <w:rFonts w:ascii="Calibri" w:hAnsi="Calibri" w:cs="Calibri" w:eastAsia="Calibri"/>
                <w:b w:val="0"/>
                <w:i w:val="0"/>
                <w:sz w:val="16"/>
                <w:szCs w:val="16"/>
              </w:rPr>
              <w:t>GV-REG-007</w:t>
            </w:r>
          </w:p>
        </w:tc>
        <w:tc>
          <w:tcPr>
            <w:tcW w:type="dxa" w:w="1892"/>
          </w:tcPr>
          <w:p>
            <w:r/>
            <w:r>
              <w:rPr>
                <w:rFonts w:ascii="Calibri" w:hAnsi="Calibri" w:cs="Calibri" w:eastAsia="Calibri"/>
                <w:b w:val="0"/>
                <w:i w:val="0"/>
                <w:sz w:val="16"/>
                <w:szCs w:val="16"/>
              </w:rPr>
              <w:t>Compliant</w:t>
            </w:r>
          </w:p>
        </w:tc>
        <w:tc>
          <w:tcPr>
            <w:tcW w:type="dxa" w:w="1892"/>
          </w:tcPr>
          <w:p>
            <w:r/>
            <w:r>
              <w:rPr>
                <w:rFonts w:ascii="Calibri" w:hAnsi="Calibri" w:cs="Calibri" w:eastAsia="Calibri"/>
                <w:b w:val="0"/>
                <w:i w:val="0"/>
                <w:sz w:val="16"/>
                <w:szCs w:val="16"/>
              </w:rPr>
              <w:t>01/2026</w:t>
            </w:r>
          </w:p>
        </w:tc>
      </w:tr>
      <w:tr>
        <w:tc>
          <w:tcPr>
            <w:tcW w:type="dxa" w:w="1892"/>
          </w:tcPr>
          <w:p>
            <w:r/>
            <w:r>
              <w:rPr>
                <w:rFonts w:ascii="Calibri" w:hAnsi="Calibri" w:cs="Calibri" w:eastAsia="Calibri"/>
                <w:b w:val="0"/>
                <w:i w:val="0"/>
                <w:sz w:val="16"/>
                <w:szCs w:val="16"/>
              </w:rPr>
              <w:t>LR-04</w:t>
            </w:r>
          </w:p>
        </w:tc>
        <w:tc>
          <w:tcPr>
            <w:tcW w:type="dxa" w:w="1892"/>
          </w:tcPr>
          <w:p>
            <w:r/>
            <w:r>
              <w:rPr>
                <w:rFonts w:ascii="Calibri" w:hAnsi="Calibri" w:cs="Calibri" w:eastAsia="Calibri"/>
                <w:b w:val="0"/>
                <w:i w:val="0"/>
                <w:sz w:val="16"/>
                <w:szCs w:val="16"/>
              </w:rPr>
              <w:t>CSA s.54</w:t>
            </w:r>
          </w:p>
        </w:tc>
        <w:tc>
          <w:tcPr>
            <w:tcW w:type="dxa" w:w="1892"/>
          </w:tcPr>
          <w:p>
            <w:r/>
            <w:r>
              <w:rPr>
                <w:rFonts w:ascii="Calibri" w:hAnsi="Calibri" w:cs="Calibri" w:eastAsia="Calibri"/>
                <w:b w:val="0"/>
                <w:i w:val="0"/>
                <w:sz w:val="16"/>
                <w:szCs w:val="16"/>
              </w:rPr>
              <w:t>Annual risk assessment and audit; summary to NCSA within 30 days</w:t>
            </w:r>
          </w:p>
        </w:tc>
        <w:tc>
          <w:tcPr>
            <w:tcW w:type="dxa" w:w="1892"/>
          </w:tcPr>
          <w:p>
            <w:r/>
            <w:r>
              <w:rPr>
                <w:rFonts w:ascii="Calibri" w:hAnsi="Calibri" w:cs="Calibri" w:eastAsia="Calibri"/>
                <w:b w:val="0"/>
                <w:i w:val="0"/>
                <w:sz w:val="16"/>
                <w:szCs w:val="16"/>
              </w:rPr>
              <w:t>CMC as CII</w:t>
            </w:r>
          </w:p>
        </w:tc>
        <w:tc>
          <w:tcPr>
            <w:tcW w:type="dxa" w:w="1892"/>
          </w:tcPr>
          <w:p>
            <w:r/>
            <w:r>
              <w:rPr>
                <w:rFonts w:ascii="Calibri" w:hAnsi="Calibri" w:cs="Calibri" w:eastAsia="Calibri"/>
                <w:b w:val="0"/>
                <w:i w:val="0"/>
                <w:sz w:val="16"/>
                <w:szCs w:val="16"/>
              </w:rPr>
              <w:t>Security Manager</w:t>
            </w:r>
          </w:p>
        </w:tc>
        <w:tc>
          <w:tcPr>
            <w:tcW w:type="dxa" w:w="1892"/>
          </w:tcPr>
          <w:p>
            <w:r/>
            <w:r>
              <w:rPr>
                <w:rFonts w:ascii="Calibri" w:hAnsi="Calibri" w:cs="Calibri" w:eastAsia="Calibri"/>
                <w:b w:val="0"/>
                <w:i w:val="0"/>
                <w:sz w:val="16"/>
                <w:szCs w:val="16"/>
              </w:rPr>
              <w:t>ID-RPT-003, GV-PLN-002</w:t>
            </w:r>
          </w:p>
        </w:tc>
        <w:tc>
          <w:tcPr>
            <w:tcW w:type="dxa" w:w="1892"/>
          </w:tcPr>
          <w:p>
            <w:r/>
            <w:r>
              <w:rPr>
                <w:rFonts w:ascii="Calibri" w:hAnsi="Calibri" w:cs="Calibri" w:eastAsia="Calibri"/>
                <w:b w:val="0"/>
                <w:i w:val="0"/>
                <w:sz w:val="16"/>
                <w:szCs w:val="16"/>
              </w:rPr>
              <w:t>Compliant</w:t>
            </w:r>
          </w:p>
        </w:tc>
        <w:tc>
          <w:tcPr>
            <w:tcW w:type="dxa" w:w="1892"/>
          </w:tcPr>
          <w:p>
            <w:r/>
            <w:r>
              <w:rPr>
                <w:rFonts w:ascii="Calibri" w:hAnsi="Calibri" w:cs="Calibri" w:eastAsia="Calibri"/>
                <w:b w:val="0"/>
                <w:i w:val="0"/>
                <w:sz w:val="16"/>
                <w:szCs w:val="16"/>
              </w:rPr>
              <w:t>01/2026</w:t>
            </w:r>
          </w:p>
        </w:tc>
      </w:tr>
      <w:tr>
        <w:tc>
          <w:tcPr>
            <w:tcW w:type="dxa" w:w="1892"/>
          </w:tcPr>
          <w:p>
            <w:r/>
            <w:r>
              <w:rPr>
                <w:rFonts w:ascii="Calibri" w:hAnsi="Calibri" w:cs="Calibri" w:eastAsia="Calibri"/>
                <w:b w:val="0"/>
                <w:i w:val="0"/>
                <w:sz w:val="16"/>
                <w:szCs w:val="16"/>
              </w:rPr>
              <w:t>LR-05</w:t>
            </w:r>
          </w:p>
        </w:tc>
        <w:tc>
          <w:tcPr>
            <w:tcW w:type="dxa" w:w="1892"/>
          </w:tcPr>
          <w:p>
            <w:r/>
            <w:r>
              <w:rPr>
                <w:rFonts w:ascii="Calibri" w:hAnsi="Calibri" w:cs="Calibri" w:eastAsia="Calibri"/>
                <w:b w:val="0"/>
                <w:i w:val="0"/>
                <w:sz w:val="16"/>
                <w:szCs w:val="16"/>
              </w:rPr>
              <w:t>CSA s.57; CRC Notification 2024 [VERIFY]</w:t>
            </w:r>
          </w:p>
        </w:tc>
        <w:tc>
          <w:tcPr>
            <w:tcW w:type="dxa" w:w="1892"/>
          </w:tcPr>
          <w:p>
            <w:r/>
            <w:r>
              <w:rPr>
                <w:rFonts w:ascii="Calibri" w:hAnsi="Calibri" w:cs="Calibri" w:eastAsia="Calibri"/>
                <w:b w:val="0"/>
                <w:i w:val="0"/>
                <w:sz w:val="16"/>
                <w:szCs w:val="16"/>
              </w:rPr>
              <w:t>Report significant incidents to NCSA and regulator</w:t>
            </w:r>
          </w:p>
        </w:tc>
        <w:tc>
          <w:tcPr>
            <w:tcW w:type="dxa" w:w="1892"/>
          </w:tcPr>
          <w:p>
            <w:r/>
            <w:r>
              <w:rPr>
                <w:rFonts w:ascii="Calibri" w:hAnsi="Calibri" w:cs="Calibri" w:eastAsia="Calibri"/>
                <w:b w:val="0"/>
                <w:i w:val="0"/>
                <w:sz w:val="16"/>
                <w:szCs w:val="16"/>
              </w:rPr>
              <w:t>CMC as CII</w:t>
            </w:r>
          </w:p>
        </w:tc>
        <w:tc>
          <w:tcPr>
            <w:tcW w:type="dxa" w:w="1892"/>
          </w:tcPr>
          <w:p>
            <w:r/>
            <w:r>
              <w:rPr>
                <w:rFonts w:ascii="Calibri" w:hAnsi="Calibri" w:cs="Calibri" w:eastAsia="Calibri"/>
                <w:b w:val="0"/>
                <w:i w:val="0"/>
                <w:sz w:val="16"/>
                <w:szCs w:val="16"/>
              </w:rPr>
              <w:t>Security Manager</w:t>
            </w:r>
          </w:p>
        </w:tc>
        <w:tc>
          <w:tcPr>
            <w:tcW w:type="dxa" w:w="1892"/>
          </w:tcPr>
          <w:p>
            <w:r/>
            <w:r>
              <w:rPr>
                <w:rFonts w:ascii="Calibri" w:hAnsi="Calibri" w:cs="Calibri" w:eastAsia="Calibri"/>
                <w:b w:val="0"/>
                <w:i w:val="0"/>
                <w:sz w:val="16"/>
                <w:szCs w:val="16"/>
              </w:rPr>
              <w:t>RS-PRC-003</w:t>
            </w:r>
          </w:p>
        </w:tc>
        <w:tc>
          <w:tcPr>
            <w:tcW w:type="dxa" w:w="1892"/>
          </w:tcPr>
          <w:p>
            <w:r/>
            <w:r>
              <w:rPr>
                <w:rFonts w:ascii="Calibri" w:hAnsi="Calibri" w:cs="Calibri" w:eastAsia="Calibri"/>
                <w:b w:val="0"/>
                <w:i w:val="0"/>
                <w:sz w:val="16"/>
                <w:szCs w:val="16"/>
              </w:rPr>
              <w:t>Partial</w:t>
            </w:r>
          </w:p>
        </w:tc>
        <w:tc>
          <w:tcPr>
            <w:tcW w:type="dxa" w:w="1892"/>
          </w:tcPr>
          <w:p>
            <w:r/>
            <w:r>
              <w:rPr>
                <w:rFonts w:ascii="Calibri" w:hAnsi="Calibri" w:cs="Calibri" w:eastAsia="Calibri"/>
                <w:b w:val="0"/>
                <w:i w:val="0"/>
                <w:sz w:val="16"/>
                <w:szCs w:val="16"/>
              </w:rPr>
              <w:t>01/2026</w:t>
            </w:r>
          </w:p>
        </w:tc>
      </w:tr>
      <w:tr>
        <w:tc>
          <w:tcPr>
            <w:tcW w:type="dxa" w:w="1892"/>
          </w:tcPr>
          <w:p>
            <w:r/>
            <w:r>
              <w:rPr>
                <w:rFonts w:ascii="Calibri" w:hAnsi="Calibri" w:cs="Calibri" w:eastAsia="Calibri"/>
                <w:b w:val="0"/>
                <w:i w:val="0"/>
                <w:sz w:val="16"/>
                <w:szCs w:val="16"/>
              </w:rPr>
              <w:t>LR-06</w:t>
            </w:r>
          </w:p>
        </w:tc>
        <w:tc>
          <w:tcPr>
            <w:tcW w:type="dxa" w:w="1892"/>
          </w:tcPr>
          <w:p>
            <w:r/>
            <w:r>
              <w:rPr>
                <w:rFonts w:ascii="Calibri" w:hAnsi="Calibri" w:cs="Calibri" w:eastAsia="Calibri"/>
                <w:b w:val="0"/>
                <w:i w:val="0"/>
                <w:sz w:val="16"/>
                <w:szCs w:val="16"/>
              </w:rPr>
              <w:t>Computer Crime Act B.E. 2550 s.26</w:t>
            </w:r>
          </w:p>
        </w:tc>
        <w:tc>
          <w:tcPr>
            <w:tcW w:type="dxa" w:w="1892"/>
          </w:tcPr>
          <w:p>
            <w:r/>
            <w:r>
              <w:rPr>
                <w:rFonts w:ascii="Calibri" w:hAnsi="Calibri" w:cs="Calibri" w:eastAsia="Calibri"/>
                <w:b w:val="0"/>
                <w:i w:val="0"/>
                <w:sz w:val="16"/>
                <w:szCs w:val="16"/>
              </w:rPr>
              <w:t>Retain computer traffic data for at least 90 days as a service provider (patient and guest Wi-Fi)</w:t>
            </w:r>
          </w:p>
        </w:tc>
        <w:tc>
          <w:tcPr>
            <w:tcW w:type="dxa" w:w="1892"/>
          </w:tcPr>
          <w:p>
            <w:r/>
            <w:r>
              <w:rPr>
                <w:rFonts w:ascii="Calibri" w:hAnsi="Calibri" w:cs="Calibri" w:eastAsia="Calibri"/>
                <w:b w:val="0"/>
                <w:i w:val="0"/>
                <w:sz w:val="16"/>
                <w:szCs w:val="16"/>
              </w:rPr>
              <w:t>IT Infrastructure</w:t>
            </w:r>
          </w:p>
        </w:tc>
        <w:tc>
          <w:tcPr>
            <w:tcW w:type="dxa" w:w="1892"/>
          </w:tcPr>
          <w:p>
            <w:r/>
            <w:r>
              <w:rPr>
                <w:rFonts w:ascii="Calibri" w:hAnsi="Calibri" w:cs="Calibri" w:eastAsia="Calibri"/>
                <w:b w:val="0"/>
                <w:i w:val="0"/>
                <w:sz w:val="16"/>
                <w:szCs w:val="16"/>
              </w:rPr>
              <w:t>IT Infrastructure Manager</w:t>
            </w:r>
          </w:p>
        </w:tc>
        <w:tc>
          <w:tcPr>
            <w:tcW w:type="dxa" w:w="1892"/>
          </w:tcPr>
          <w:p>
            <w:r/>
            <w:r>
              <w:rPr>
                <w:rFonts w:ascii="Calibri" w:hAnsi="Calibri" w:cs="Calibri" w:eastAsia="Calibri"/>
                <w:b w:val="0"/>
                <w:i w:val="0"/>
                <w:sz w:val="16"/>
                <w:szCs w:val="16"/>
              </w:rPr>
              <w:t>PR-STD-011</w:t>
            </w:r>
          </w:p>
        </w:tc>
        <w:tc>
          <w:tcPr>
            <w:tcW w:type="dxa" w:w="1892"/>
          </w:tcPr>
          <w:p>
            <w:r/>
            <w:r>
              <w:rPr>
                <w:rFonts w:ascii="Calibri" w:hAnsi="Calibri" w:cs="Calibri" w:eastAsia="Calibri"/>
                <w:b w:val="0"/>
                <w:i w:val="0"/>
                <w:sz w:val="16"/>
                <w:szCs w:val="16"/>
              </w:rPr>
              <w:t>Compliant</w:t>
            </w:r>
          </w:p>
        </w:tc>
        <w:tc>
          <w:tcPr>
            <w:tcW w:type="dxa" w:w="1892"/>
          </w:tcPr>
          <w:p>
            <w:r/>
            <w:r>
              <w:rPr>
                <w:rFonts w:ascii="Calibri" w:hAnsi="Calibri" w:cs="Calibri" w:eastAsia="Calibri"/>
                <w:b w:val="0"/>
                <w:i w:val="0"/>
                <w:sz w:val="16"/>
                <w:szCs w:val="16"/>
              </w:rPr>
              <w:t>01/2026</w:t>
            </w:r>
          </w:p>
        </w:tc>
      </w:tr>
      <w:tr>
        <w:tc>
          <w:tcPr>
            <w:tcW w:type="dxa" w:w="1892"/>
          </w:tcPr>
          <w:p>
            <w:r/>
            <w:r>
              <w:rPr>
                <w:rFonts w:ascii="Calibri" w:hAnsi="Calibri" w:cs="Calibri" w:eastAsia="Calibri"/>
                <w:b w:val="0"/>
                <w:i w:val="0"/>
                <w:sz w:val="16"/>
                <w:szCs w:val="16"/>
              </w:rPr>
              <w:t>LR-07</w:t>
            </w:r>
          </w:p>
        </w:tc>
        <w:tc>
          <w:tcPr>
            <w:tcW w:type="dxa" w:w="1892"/>
          </w:tcPr>
          <w:p>
            <w:r/>
            <w:r>
              <w:rPr>
                <w:rFonts w:ascii="Calibri" w:hAnsi="Calibri" w:cs="Calibri" w:eastAsia="Calibri"/>
                <w:b w:val="0"/>
                <w:i w:val="0"/>
                <w:sz w:val="16"/>
                <w:szCs w:val="16"/>
              </w:rPr>
              <w:t>Hospital Accreditation standards (information management) [VERIFY]</w:t>
            </w:r>
          </w:p>
        </w:tc>
        <w:tc>
          <w:tcPr>
            <w:tcW w:type="dxa" w:w="1892"/>
          </w:tcPr>
          <w:p>
            <w:r/>
            <w:r>
              <w:rPr>
                <w:rFonts w:ascii="Calibri" w:hAnsi="Calibri" w:cs="Calibri" w:eastAsia="Calibri"/>
                <w:b w:val="0"/>
                <w:i w:val="0"/>
                <w:sz w:val="16"/>
                <w:szCs w:val="16"/>
              </w:rPr>
              <w:t>Protect confidentiality and availability of medical records</w:t>
            </w:r>
          </w:p>
        </w:tc>
        <w:tc>
          <w:tcPr>
            <w:tcW w:type="dxa" w:w="1892"/>
          </w:tcPr>
          <w:p>
            <w:r/>
            <w:r>
              <w:rPr>
                <w:rFonts w:ascii="Calibri" w:hAnsi="Calibri" w:cs="Calibri" w:eastAsia="Calibri"/>
                <w:b w:val="0"/>
                <w:i w:val="0"/>
                <w:sz w:val="16"/>
                <w:szCs w:val="16"/>
              </w:rPr>
              <w:t>Clinical units</w:t>
            </w:r>
          </w:p>
        </w:tc>
        <w:tc>
          <w:tcPr>
            <w:tcW w:type="dxa" w:w="1892"/>
          </w:tcPr>
          <w:p>
            <w:r/>
            <w:r>
              <w:rPr>
                <w:rFonts w:ascii="Calibri" w:hAnsi="Calibri" w:cs="Calibri" w:eastAsia="Calibri"/>
                <w:b w:val="0"/>
                <w:i w:val="0"/>
                <w:sz w:val="16"/>
                <w:szCs w:val="16"/>
              </w:rPr>
              <w:t>Quality and Risk Management Director</w:t>
            </w:r>
          </w:p>
        </w:tc>
        <w:tc>
          <w:tcPr>
            <w:tcW w:type="dxa" w:w="1892"/>
          </w:tcPr>
          <w:p>
            <w:r/>
            <w:r>
              <w:rPr>
                <w:rFonts w:ascii="Calibri" w:hAnsi="Calibri" w:cs="Calibri" w:eastAsia="Calibri"/>
                <w:b w:val="0"/>
                <w:i w:val="0"/>
                <w:sz w:val="16"/>
                <w:szCs w:val="16"/>
              </w:rPr>
              <w:t>GV-POL-004, RC-PLN-001</w:t>
            </w:r>
          </w:p>
        </w:tc>
        <w:tc>
          <w:tcPr>
            <w:tcW w:type="dxa" w:w="1892"/>
          </w:tcPr>
          <w:p>
            <w:r/>
            <w:r>
              <w:rPr>
                <w:rFonts w:ascii="Calibri" w:hAnsi="Calibri" w:cs="Calibri" w:eastAsia="Calibri"/>
                <w:b w:val="0"/>
                <w:i w:val="0"/>
                <w:sz w:val="16"/>
                <w:szCs w:val="16"/>
              </w:rPr>
              <w:t>Partial</w:t>
            </w:r>
          </w:p>
        </w:tc>
        <w:tc>
          <w:tcPr>
            <w:tcW w:type="dxa" w:w="1892"/>
          </w:tcPr>
          <w:p>
            <w:r/>
            <w:r>
              <w:rPr>
                <w:rFonts w:ascii="Calibri" w:hAnsi="Calibri" w:cs="Calibri" w:eastAsia="Calibri"/>
                <w:b w:val="0"/>
                <w:i w:val="0"/>
                <w:sz w:val="16"/>
                <w:szCs w:val="16"/>
              </w:rPr>
              <w:t>01/2026</w:t>
            </w:r>
          </w:p>
        </w:tc>
      </w:tr>
      <w:tr>
        <w:tc>
          <w:tcPr>
            <w:tcW w:type="dxa" w:w="1892"/>
          </w:tcPr>
          <w:p>
            <w:r/>
            <w:r>
              <w:rPr>
                <w:rFonts w:ascii="Calibri" w:hAnsi="Calibri" w:cs="Calibri" w:eastAsia="Calibri"/>
                <w:b w:val="0"/>
                <w:i w:val="0"/>
                <w:sz w:val="16"/>
                <w:szCs w:val="16"/>
              </w:rPr>
              <w:t>LR-08</w:t>
            </w:r>
          </w:p>
        </w:tc>
        <w:tc>
          <w:tcPr>
            <w:tcW w:type="dxa" w:w="1892"/>
          </w:tcPr>
          <w:p>
            <w:r/>
            <w:r>
              <w:rPr>
                <w:rFonts w:ascii="Calibri" w:hAnsi="Calibri" w:cs="Calibri" w:eastAsia="Calibri"/>
                <w:b w:val="0"/>
                <w:i w:val="0"/>
                <w:sz w:val="16"/>
                <w:szCs w:val="16"/>
              </w:rPr>
              <w:t>HIS Vendor A support contract</w:t>
            </w:r>
          </w:p>
        </w:tc>
        <w:tc>
          <w:tcPr>
            <w:tcW w:type="dxa" w:w="1892"/>
          </w:tcPr>
          <w:p>
            <w:r/>
            <w:r>
              <w:rPr>
                <w:rFonts w:ascii="Calibri" w:hAnsi="Calibri" w:cs="Calibri" w:eastAsia="Calibri"/>
                <w:b w:val="0"/>
                <w:i w:val="0"/>
                <w:sz w:val="16"/>
                <w:szCs w:val="16"/>
              </w:rPr>
              <w:t>Customer must keep supported OS versions for vendor support</w:t>
            </w:r>
          </w:p>
        </w:tc>
        <w:tc>
          <w:tcPr>
            <w:tcW w:type="dxa" w:w="1892"/>
          </w:tcPr>
          <w:p>
            <w:r/>
            <w:r>
              <w:rPr>
                <w:rFonts w:ascii="Calibri" w:hAnsi="Calibri" w:cs="Calibri" w:eastAsia="Calibri"/>
                <w:b w:val="0"/>
                <w:i w:val="0"/>
                <w:sz w:val="16"/>
                <w:szCs w:val="16"/>
              </w:rPr>
              <w:t>IT</w:t>
            </w:r>
          </w:p>
        </w:tc>
        <w:tc>
          <w:tcPr>
            <w:tcW w:type="dxa" w:w="1892"/>
          </w:tcPr>
          <w:p>
            <w:r/>
            <w:r>
              <w:rPr>
                <w:rFonts w:ascii="Calibri" w:hAnsi="Calibri" w:cs="Calibri" w:eastAsia="Calibri"/>
                <w:b w:val="0"/>
                <w:i w:val="0"/>
                <w:sz w:val="16"/>
                <w:szCs w:val="16"/>
              </w:rPr>
              <w:t>CIO</w:t>
            </w:r>
          </w:p>
        </w:tc>
        <w:tc>
          <w:tcPr>
            <w:tcW w:type="dxa" w:w="1892"/>
          </w:tcPr>
          <w:p>
            <w:r/>
            <w:r>
              <w:rPr>
                <w:rFonts w:ascii="Calibri" w:hAnsi="Calibri" w:cs="Calibri" w:eastAsia="Calibri"/>
                <w:b w:val="0"/>
                <w:i w:val="0"/>
                <w:sz w:val="16"/>
                <w:szCs w:val="16"/>
              </w:rPr>
              <w:t>PR-STD-010</w:t>
            </w:r>
          </w:p>
        </w:tc>
        <w:tc>
          <w:tcPr>
            <w:tcW w:type="dxa" w:w="1892"/>
          </w:tcPr>
          <w:p>
            <w:r/>
            <w:r>
              <w:rPr>
                <w:rFonts w:ascii="Calibri" w:hAnsi="Calibri" w:cs="Calibri" w:eastAsia="Calibri"/>
                <w:b w:val="0"/>
                <w:i w:val="0"/>
                <w:sz w:val="16"/>
                <w:szCs w:val="16"/>
              </w:rPr>
              <w:t>Compliant</w:t>
            </w:r>
          </w:p>
        </w:tc>
        <w:tc>
          <w:tcPr>
            <w:tcW w:type="dxa" w:w="1892"/>
          </w:tcPr>
          <w:p>
            <w:r/>
            <w:r>
              <w:rPr>
                <w:rFonts w:ascii="Calibri" w:hAnsi="Calibri" w:cs="Calibri" w:eastAsia="Calibri"/>
                <w:b w:val="0"/>
                <w:i w:val="0"/>
                <w:sz w:val="16"/>
                <w:szCs w:val="16"/>
              </w:rPr>
              <w:t>01/2026</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Legal Counsel</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Legal Counsel</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Legal Counsel</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Have Legal Counsel validate the register at least once a year and when new notifications are published.</w:t>
      </w:r>
    </w:p>
    <w:p>
      <w:pPr>
        <w:pStyle w:val="ListBullet"/>
        <w:spacing w:after="40"/>
      </w:pPr>
      <w:r>
        <w:rPr>
          <w:rFonts w:ascii="Calibri" w:hAnsi="Calibri" w:cs="Calibri" w:eastAsia="Calibri"/>
          <w:b w:val="0"/>
          <w:i w:val="0"/>
          <w:sz w:val="21"/>
          <w:szCs w:val="21"/>
        </w:rPr>
        <w:t>Include contractual requirements from major customers and vendors, not only laws.</w:t>
      </w:r>
    </w:p>
    <w:p>
      <w:pPr>
        <w:pStyle w:val="ListBullet"/>
        <w:spacing w:after="40"/>
      </w:pPr>
      <w:r>
        <w:rPr>
          <w:rFonts w:ascii="Calibri" w:hAnsi="Calibri" w:cs="Calibri" w:eastAsia="Calibri"/>
          <w:b w:val="0"/>
          <w:i w:val="0"/>
          <w:sz w:val="21"/>
          <w:szCs w:val="21"/>
        </w:rPr>
        <w:t>Subscribe to NCSA, PDPC, and sector regulator updates and assign a person to monitor them.</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Listing laws without stating the specific obligation and who owns it.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GV.OC-03: Legal, regulatory, and contractual cybersecurity requirements are understood and managed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A.5.31, Annex A.5.32, Annex A.5.34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PM-1, PT-1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5.31; PDPA; CSA</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GV-RPT-001: Organizational Context and ISMS Scope Statement</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GV-REG-006: CII Code of Practice Compliance Matrix</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GV-REG-001  |  Legal, Regulatory, and Contractual Requirements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