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Stakeholder Requirements Register</w:t>
      </w:r>
    </w:p>
    <w:p>
      <w:pPr>
        <w:spacing w:after="80" w:before="0"/>
      </w:pPr>
      <w:r>
        <w:rPr>
          <w:rFonts w:ascii="Calibri" w:hAnsi="Calibri" w:cs="Calibri" w:eastAsia="Calibri"/>
          <w:b w:val="0"/>
          <w:i w:val="0"/>
          <w:color w:val="595959"/>
          <w:sz w:val="18"/>
          <w:szCs w:val="18"/>
        </w:rPr>
        <w:t>GV-REG-002  |  Register  |  Organizational Context (GV.OC)</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Stakeholder Requirements Register</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Organizational Context (GV.OC)</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4.2 (not mandated as documented information)</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August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records internal and external stakeholders, their cybersecurity expectations, and how the organization addresses them (GV.OC-02; ISO/IEC 27001:2022 Clause 4.2).</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(GV-RPT-001)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Stakeholder</w:t>
            </w:r>
          </w:p>
        </w:tc>
        <w:tc>
          <w:tcPr>
            <w:tcW w:type="dxa" w:w="4535"/>
          </w:tcPr>
          <w:p>
            <w:r/>
            <w:r>
              <w:rPr>
                <w:rFonts w:ascii="Calibri" w:hAnsi="Calibri" w:cs="Calibri" w:eastAsia="Calibri"/>
                <w:b w:val="0"/>
                <w:i w:val="0"/>
                <w:sz w:val="18"/>
                <w:szCs w:val="18"/>
              </w:rPr>
              <w:t>Group or entity.</w:t>
            </w:r>
          </w:p>
        </w:tc>
        <w:tc>
          <w:tcPr>
            <w:tcW w:type="dxa" w:w="2551"/>
          </w:tcPr>
          <w:p>
            <w:r/>
            <w:r>
              <w:rPr>
                <w:rFonts w:ascii="Calibri" w:hAnsi="Calibri" w:cs="Calibri" w:eastAsia="Calibri"/>
                <w:b w:val="0"/>
                <w:i w:val="0"/>
                <w:sz w:val="18"/>
                <w:szCs w:val="18"/>
              </w:rPr>
              <w:t>Customers</w:t>
            </w:r>
          </w:p>
        </w:tc>
      </w:tr>
      <w:tr>
        <w:tc>
          <w:tcPr>
            <w:tcW w:type="dxa" w:w="2268"/>
          </w:tcPr>
          <w:p>
            <w:r/>
            <w:r>
              <w:rPr>
                <w:rFonts w:ascii="Calibri" w:hAnsi="Calibri" w:cs="Calibri" w:eastAsia="Calibri"/>
                <w:b w:val="0"/>
                <w:i w:val="0"/>
                <w:sz w:val="18"/>
                <w:szCs w:val="18"/>
              </w:rPr>
              <w:t>Internal or external</w:t>
            </w:r>
          </w:p>
        </w:tc>
        <w:tc>
          <w:tcPr>
            <w:tcW w:type="dxa" w:w="4535"/>
          </w:tcPr>
          <w:p>
            <w:r/>
            <w:r>
              <w:rPr>
                <w:rFonts w:ascii="Calibri" w:hAnsi="Calibri" w:cs="Calibri" w:eastAsia="Calibri"/>
                <w:b w:val="0"/>
                <w:i w:val="0"/>
                <w:sz w:val="18"/>
                <w:szCs w:val="18"/>
              </w:rPr>
              <w:t>Classification.</w:t>
            </w:r>
          </w:p>
        </w:tc>
        <w:tc>
          <w:tcPr>
            <w:tcW w:type="dxa" w:w="2551"/>
          </w:tcPr>
          <w:p>
            <w:r/>
            <w:r>
              <w:rPr>
                <w:rFonts w:ascii="Calibri" w:hAnsi="Calibri" w:cs="Calibri" w:eastAsia="Calibri"/>
                <w:b w:val="0"/>
                <w:i w:val="0"/>
                <w:sz w:val="18"/>
                <w:szCs w:val="18"/>
              </w:rPr>
              <w:t>External</w:t>
            </w:r>
          </w:p>
        </w:tc>
      </w:tr>
      <w:tr>
        <w:tc>
          <w:tcPr>
            <w:tcW w:type="dxa" w:w="2268"/>
          </w:tcPr>
          <w:p>
            <w:r/>
            <w:r>
              <w:rPr>
                <w:rFonts w:ascii="Calibri" w:hAnsi="Calibri" w:cs="Calibri" w:eastAsia="Calibri"/>
                <w:b w:val="0"/>
                <w:i w:val="0"/>
                <w:sz w:val="18"/>
                <w:szCs w:val="18"/>
              </w:rPr>
              <w:t>Expectations</w:t>
            </w:r>
          </w:p>
        </w:tc>
        <w:tc>
          <w:tcPr>
            <w:tcW w:type="dxa" w:w="4535"/>
          </w:tcPr>
          <w:p>
            <w:r/>
            <w:r>
              <w:rPr>
                <w:rFonts w:ascii="Calibri" w:hAnsi="Calibri" w:cs="Calibri" w:eastAsia="Calibri"/>
                <w:b w:val="0"/>
                <w:i w:val="0"/>
                <w:sz w:val="18"/>
                <w:szCs w:val="18"/>
              </w:rPr>
              <w:t>Security and privacy expectations.</w:t>
            </w:r>
          </w:p>
        </w:tc>
        <w:tc>
          <w:tcPr>
            <w:tcW w:type="dxa" w:w="2551"/>
          </w:tcPr>
          <w:p>
            <w:r/>
          </w:p>
        </w:tc>
      </w:tr>
      <w:tr>
        <w:tc>
          <w:tcPr>
            <w:tcW w:type="dxa" w:w="2268"/>
          </w:tcPr>
          <w:p>
            <w:r/>
            <w:r>
              <w:rPr>
                <w:rFonts w:ascii="Calibri" w:hAnsi="Calibri" w:cs="Calibri" w:eastAsia="Calibri"/>
                <w:b w:val="0"/>
                <w:i w:val="0"/>
                <w:sz w:val="18"/>
                <w:szCs w:val="18"/>
              </w:rPr>
              <w:t>Requirement in ISMS (Yes or No)</w:t>
            </w:r>
          </w:p>
        </w:tc>
        <w:tc>
          <w:tcPr>
            <w:tcW w:type="dxa" w:w="4535"/>
          </w:tcPr>
          <w:p>
            <w:r/>
            <w:r>
              <w:rPr>
                <w:rFonts w:ascii="Calibri" w:hAnsi="Calibri" w:cs="Calibri" w:eastAsia="Calibri"/>
                <w:b w:val="0"/>
                <w:i w:val="0"/>
                <w:sz w:val="18"/>
                <w:szCs w:val="18"/>
              </w:rPr>
              <w:t>Whether the expectation becomes a requirement.</w:t>
            </w:r>
          </w:p>
        </w:tc>
        <w:tc>
          <w:tcPr>
            <w:tcW w:type="dxa" w:w="2551"/>
          </w:tcPr>
          <w:p>
            <w:r/>
            <w:r>
              <w:rPr>
                <w:rFonts w:ascii="Calibri" w:hAnsi="Calibri" w:cs="Calibri" w:eastAsia="Calibri"/>
                <w:b w:val="0"/>
                <w:i w:val="0"/>
                <w:sz w:val="18"/>
                <w:szCs w:val="18"/>
              </w:rPr>
              <w:t>Yes</w:t>
            </w:r>
          </w:p>
        </w:tc>
      </w:tr>
      <w:tr>
        <w:tc>
          <w:tcPr>
            <w:tcW w:type="dxa" w:w="2268"/>
          </w:tcPr>
          <w:p>
            <w:r/>
            <w:r>
              <w:rPr>
                <w:rFonts w:ascii="Calibri" w:hAnsi="Calibri" w:cs="Calibri" w:eastAsia="Calibri"/>
                <w:b w:val="0"/>
                <w:i w:val="0"/>
                <w:sz w:val="18"/>
                <w:szCs w:val="18"/>
              </w:rPr>
              <w:t>How addressed</w:t>
            </w:r>
          </w:p>
        </w:tc>
        <w:tc>
          <w:tcPr>
            <w:tcW w:type="dxa" w:w="4535"/>
          </w:tcPr>
          <w:p>
            <w:r/>
            <w:r>
              <w:rPr>
                <w:rFonts w:ascii="Calibri" w:hAnsi="Calibri" w:cs="Calibri" w:eastAsia="Calibri"/>
                <w:b w:val="0"/>
                <w:i w:val="0"/>
                <w:sz w:val="18"/>
                <w:szCs w:val="18"/>
              </w:rPr>
              <w:t>Process or document.</w:t>
            </w:r>
          </w:p>
        </w:tc>
        <w:tc>
          <w:tcPr>
            <w:tcW w:type="dxa" w:w="2551"/>
          </w:tcPr>
          <w:p>
            <w:r/>
          </w:p>
        </w:tc>
      </w:tr>
      <w:tr>
        <w:tc>
          <w:tcPr>
            <w:tcW w:type="dxa" w:w="2268"/>
          </w:tcPr>
          <w:p>
            <w:r/>
            <w:r>
              <w:rPr>
                <w:rFonts w:ascii="Calibri" w:hAnsi="Calibri" w:cs="Calibri" w:eastAsia="Calibri"/>
                <w:b w:val="0"/>
                <w:i w:val="0"/>
                <w:sz w:val="18"/>
                <w:szCs w:val="18"/>
              </w:rPr>
              <w:t>Relationship owner</w:t>
            </w:r>
          </w:p>
        </w:tc>
        <w:tc>
          <w:tcPr>
            <w:tcW w:type="dxa" w:w="4535"/>
          </w:tcPr>
          <w:p>
            <w:r/>
            <w:r>
              <w:rPr>
                <w:rFonts w:ascii="Calibri" w:hAnsi="Calibri" w:cs="Calibri" w:eastAsia="Calibri"/>
                <w:b w:val="0"/>
                <w:i w:val="0"/>
                <w:sz w:val="18"/>
                <w:szCs w:val="18"/>
              </w:rPr>
              <w:t>Role.</w:t>
            </w:r>
          </w:p>
        </w:tc>
        <w:tc>
          <w:tcPr>
            <w:tcW w:type="dxa" w:w="2551"/>
          </w:tcPr>
          <w:p>
            <w:r/>
          </w:p>
        </w:tc>
      </w:tr>
    </w:tbl>
    <w:p>
      <w:pPr>
        <w:spacing w:after="40"/>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Maintain current entries. Each entry must have an owner and a last-updated date.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rPr>
          <w:tblHeader w:val="true"/>
        </w:trPr>
        <w:tc>
          <w:tcPr>
            <w:tcW w:type="dxa" w:w="1559"/>
            <w:shd w:val="clear" w:color="auto" w:fill="1F3864"/>
          </w:tcPr>
          <w:p>
            <w:r/>
            <w:r>
              <w:rPr>
                <w:rFonts w:ascii="Calibri" w:hAnsi="Calibri" w:cs="Calibri" w:eastAsia="Calibri"/>
                <w:b/>
                <w:i w:val="0"/>
                <w:color w:val="FFFFFF"/>
                <w:sz w:val="16"/>
                <w:szCs w:val="16"/>
                <w:bCs/>
              </w:rPr>
              <w:t>Stakeholder</w:t>
            </w:r>
          </w:p>
        </w:tc>
        <w:tc>
          <w:tcPr>
            <w:tcW w:type="dxa" w:w="1559"/>
            <w:shd w:val="clear" w:color="auto" w:fill="1F3864"/>
          </w:tcPr>
          <w:p>
            <w:r/>
            <w:r>
              <w:rPr>
                <w:rFonts w:ascii="Calibri" w:hAnsi="Calibri" w:cs="Calibri" w:eastAsia="Calibri"/>
                <w:b/>
                <w:i w:val="0"/>
                <w:color w:val="FFFFFF"/>
                <w:sz w:val="16"/>
                <w:szCs w:val="16"/>
                <w:bCs/>
              </w:rPr>
              <w:t>Internal or external</w:t>
            </w:r>
          </w:p>
        </w:tc>
        <w:tc>
          <w:tcPr>
            <w:tcW w:type="dxa" w:w="1559"/>
            <w:shd w:val="clear" w:color="auto" w:fill="1F3864"/>
          </w:tcPr>
          <w:p>
            <w:r/>
            <w:r>
              <w:rPr>
                <w:rFonts w:ascii="Calibri" w:hAnsi="Calibri" w:cs="Calibri" w:eastAsia="Calibri"/>
                <w:b/>
                <w:i w:val="0"/>
                <w:color w:val="FFFFFF"/>
                <w:sz w:val="16"/>
                <w:szCs w:val="16"/>
                <w:bCs/>
              </w:rPr>
              <w:t>Expectations</w:t>
            </w:r>
          </w:p>
        </w:tc>
        <w:tc>
          <w:tcPr>
            <w:tcW w:type="dxa" w:w="1559"/>
            <w:shd w:val="clear" w:color="auto" w:fill="1F3864"/>
          </w:tcPr>
          <w:p>
            <w:r/>
            <w:r>
              <w:rPr>
                <w:rFonts w:ascii="Calibri" w:hAnsi="Calibri" w:cs="Calibri" w:eastAsia="Calibri"/>
                <w:b/>
                <w:i w:val="0"/>
                <w:color w:val="FFFFFF"/>
                <w:sz w:val="16"/>
                <w:szCs w:val="16"/>
                <w:bCs/>
              </w:rPr>
              <w:t>Requirement in ISMS (Yes or No)</w:t>
            </w:r>
          </w:p>
        </w:tc>
        <w:tc>
          <w:tcPr>
            <w:tcW w:type="dxa" w:w="1559"/>
            <w:shd w:val="clear" w:color="auto" w:fill="1F3864"/>
          </w:tcPr>
          <w:p>
            <w:r/>
            <w:r>
              <w:rPr>
                <w:rFonts w:ascii="Calibri" w:hAnsi="Calibri" w:cs="Calibri" w:eastAsia="Calibri"/>
                <w:b/>
                <w:i w:val="0"/>
                <w:color w:val="FFFFFF"/>
                <w:sz w:val="16"/>
                <w:szCs w:val="16"/>
                <w:bCs/>
              </w:rPr>
              <w:t>How addressed</w:t>
            </w:r>
          </w:p>
        </w:tc>
        <w:tc>
          <w:tcPr>
            <w:tcW w:type="dxa" w:w="1559"/>
            <w:shd w:val="clear" w:color="auto" w:fill="1F3864"/>
          </w:tcPr>
          <w:p>
            <w:r/>
            <w:r>
              <w:rPr>
                <w:rFonts w:ascii="Calibri" w:hAnsi="Calibri" w:cs="Calibri" w:eastAsia="Calibri"/>
                <w:b/>
                <w:i w:val="0"/>
                <w:color w:val="FFFFFF"/>
                <w:sz w:val="16"/>
                <w:szCs w:val="16"/>
                <w:bCs/>
              </w:rPr>
              <w:t>Relationship owner</w:t>
            </w:r>
          </w:p>
        </w:tc>
      </w:tr>
      <w:tr>
        <w:tc>
          <w:tcPr>
            <w:tcW w:type="dxa" w:w="1559"/>
          </w:tcPr>
          <w:p>
            <w:r/>
            <w:r>
              <w:rPr>
                <w:rFonts w:ascii="Calibri" w:hAnsi="Calibri" w:cs="Calibri" w:eastAsia="Calibri"/>
                <w:b w:val="0"/>
                <w:i w:val="0"/>
                <w:sz w:val="16"/>
                <w:szCs w:val="16"/>
              </w:rPr>
              <w:t>Patients</w:t>
            </w:r>
          </w:p>
        </w:tc>
        <w:tc>
          <w:tcPr>
            <w:tcW w:type="dxa" w:w="1559"/>
          </w:tcPr>
          <w:p>
            <w:r/>
            <w:r>
              <w:rPr>
                <w:rFonts w:ascii="Calibri" w:hAnsi="Calibri" w:cs="Calibri" w:eastAsia="Calibri"/>
                <w:b w:val="0"/>
                <w:i w:val="0"/>
                <w:sz w:val="16"/>
                <w:szCs w:val="16"/>
              </w:rPr>
              <w:t>External</w:t>
            </w:r>
          </w:p>
        </w:tc>
        <w:tc>
          <w:tcPr>
            <w:tcW w:type="dxa" w:w="1559"/>
          </w:tcPr>
          <w:p>
            <w:r/>
            <w:r>
              <w:rPr>
                <w:rFonts w:ascii="Calibri" w:hAnsi="Calibri" w:cs="Calibri" w:eastAsia="Calibri"/>
                <w:b w:val="0"/>
                <w:i w:val="0"/>
                <w:sz w:val="16"/>
                <w:szCs w:val="16"/>
              </w:rPr>
              <w:t>Confidential records, available care systems, breach transparency</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GV-POL-004, RC-PLN-001, RS-PLB-003</w:t>
            </w:r>
          </w:p>
        </w:tc>
        <w:tc>
          <w:tcPr>
            <w:tcW w:type="dxa" w:w="1559"/>
          </w:tcPr>
          <w:p>
            <w:r/>
            <w:r>
              <w:rPr>
                <w:rFonts w:ascii="Calibri" w:hAnsi="Calibri" w:cs="Calibri" w:eastAsia="Calibri"/>
                <w:b w:val="0"/>
                <w:i w:val="0"/>
                <w:sz w:val="16"/>
                <w:szCs w:val="16"/>
              </w:rPr>
              <w:t>DPO</w:t>
            </w:r>
          </w:p>
        </w:tc>
      </w:tr>
      <w:tr>
        <w:tc>
          <w:tcPr>
            <w:tcW w:type="dxa" w:w="1559"/>
          </w:tcPr>
          <w:p>
            <w:r/>
            <w:r>
              <w:rPr>
                <w:rFonts w:ascii="Calibri" w:hAnsi="Calibri" w:cs="Calibri" w:eastAsia="Calibri"/>
                <w:b w:val="0"/>
                <w:i w:val="0"/>
                <w:sz w:val="16"/>
                <w:szCs w:val="16"/>
              </w:rPr>
              <w:t>Physicians and nurses</w:t>
            </w:r>
          </w:p>
        </w:tc>
        <w:tc>
          <w:tcPr>
            <w:tcW w:type="dxa" w:w="1559"/>
          </w:tcPr>
          <w:p>
            <w:r/>
            <w:r>
              <w:rPr>
                <w:rFonts w:ascii="Calibri" w:hAnsi="Calibri" w:cs="Calibri" w:eastAsia="Calibri"/>
                <w:b w:val="0"/>
                <w:i w:val="0"/>
                <w:sz w:val="16"/>
                <w:szCs w:val="16"/>
              </w:rPr>
              <w:t>Internal</w:t>
            </w:r>
          </w:p>
        </w:tc>
        <w:tc>
          <w:tcPr>
            <w:tcW w:type="dxa" w:w="1559"/>
          </w:tcPr>
          <w:p>
            <w:r/>
            <w:r>
              <w:rPr>
                <w:rFonts w:ascii="Calibri" w:hAnsi="Calibri" w:cs="Calibri" w:eastAsia="Calibri"/>
                <w:b w:val="0"/>
                <w:i w:val="0"/>
                <w:sz w:val="16"/>
                <w:szCs w:val="16"/>
              </w:rPr>
              <w:t>Fast access to records at the bedside; minimal login friction</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PR-STD-001 (badge tap for shared workstations)</w:t>
            </w:r>
          </w:p>
        </w:tc>
        <w:tc>
          <w:tcPr>
            <w:tcW w:type="dxa" w:w="1559"/>
          </w:tcPr>
          <w:p>
            <w:r/>
            <w:r>
              <w:rPr>
                <w:rFonts w:ascii="Calibri" w:hAnsi="Calibri" w:cs="Calibri" w:eastAsia="Calibri"/>
                <w:b w:val="0"/>
                <w:i w:val="0"/>
                <w:sz w:val="16"/>
                <w:szCs w:val="16"/>
              </w:rPr>
              <w:t>Medical Director</w:t>
            </w:r>
          </w:p>
        </w:tc>
      </w:tr>
      <w:tr>
        <w:tc>
          <w:tcPr>
            <w:tcW w:type="dxa" w:w="1559"/>
          </w:tcPr>
          <w:p>
            <w:r/>
            <w:r>
              <w:rPr>
                <w:rFonts w:ascii="Calibri" w:hAnsi="Calibri" w:cs="Calibri" w:eastAsia="Calibri"/>
                <w:b w:val="0"/>
                <w:i w:val="0"/>
                <w:sz w:val="16"/>
                <w:szCs w:val="16"/>
              </w:rPr>
              <w:t>NCSA and Ministry of Public Health</w:t>
            </w:r>
          </w:p>
        </w:tc>
        <w:tc>
          <w:tcPr>
            <w:tcW w:type="dxa" w:w="1559"/>
          </w:tcPr>
          <w:p>
            <w:r/>
            <w:r>
              <w:rPr>
                <w:rFonts w:ascii="Calibri" w:hAnsi="Calibri" w:cs="Calibri" w:eastAsia="Calibri"/>
                <w:b w:val="0"/>
                <w:i w:val="0"/>
                <w:sz w:val="16"/>
                <w:szCs w:val="16"/>
              </w:rPr>
              <w:t>External</w:t>
            </w:r>
          </w:p>
        </w:tc>
        <w:tc>
          <w:tcPr>
            <w:tcW w:type="dxa" w:w="1559"/>
          </w:tcPr>
          <w:p>
            <w:r/>
            <w:r>
              <w:rPr>
                <w:rFonts w:ascii="Calibri" w:hAnsi="Calibri" w:cs="Calibri" w:eastAsia="Calibri"/>
                <w:b w:val="0"/>
                <w:i w:val="0"/>
                <w:sz w:val="16"/>
                <w:szCs w:val="16"/>
              </w:rPr>
              <w:t>CII compliance, timely incident reports</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GV-REG-006</w:t>
            </w:r>
          </w:p>
        </w:tc>
        <w:tc>
          <w:tcPr>
            <w:tcW w:type="dxa" w:w="1559"/>
          </w:tcPr>
          <w:p>
            <w:r/>
            <w:r>
              <w:rPr>
                <w:rFonts w:ascii="Calibri" w:hAnsi="Calibri" w:cs="Calibri" w:eastAsia="Calibri"/>
                <w:b w:val="0"/>
                <w:i w:val="0"/>
                <w:sz w:val="16"/>
                <w:szCs w:val="16"/>
              </w:rPr>
              <w:t>Security Manager</w:t>
            </w:r>
          </w:p>
        </w:tc>
      </w:tr>
      <w:tr>
        <w:tc>
          <w:tcPr>
            <w:tcW w:type="dxa" w:w="1559"/>
          </w:tcPr>
          <w:p>
            <w:r/>
            <w:r>
              <w:rPr>
                <w:rFonts w:ascii="Calibri" w:hAnsi="Calibri" w:cs="Calibri" w:eastAsia="Calibri"/>
                <w:b w:val="0"/>
                <w:i w:val="0"/>
                <w:sz w:val="16"/>
                <w:szCs w:val="16"/>
              </w:rPr>
              <w:t>Insurers</w:t>
            </w:r>
          </w:p>
        </w:tc>
        <w:tc>
          <w:tcPr>
            <w:tcW w:type="dxa" w:w="1559"/>
          </w:tcPr>
          <w:p>
            <w:r/>
            <w:r>
              <w:rPr>
                <w:rFonts w:ascii="Calibri" w:hAnsi="Calibri" w:cs="Calibri" w:eastAsia="Calibri"/>
                <w:b w:val="0"/>
                <w:i w:val="0"/>
                <w:sz w:val="16"/>
                <w:szCs w:val="16"/>
              </w:rPr>
              <w:t>External</w:t>
            </w:r>
          </w:p>
        </w:tc>
        <w:tc>
          <w:tcPr>
            <w:tcW w:type="dxa" w:w="1559"/>
          </w:tcPr>
          <w:p>
            <w:r/>
            <w:r>
              <w:rPr>
                <w:rFonts w:ascii="Calibri" w:hAnsi="Calibri" w:cs="Calibri" w:eastAsia="Calibri"/>
                <w:b w:val="0"/>
                <w:i w:val="0"/>
                <w:sz w:val="16"/>
                <w:szCs w:val="16"/>
              </w:rPr>
              <w:t>Security controls for cyber insurance renewal</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Annual insurer questionnaire</w:t>
            </w:r>
          </w:p>
        </w:tc>
        <w:tc>
          <w:tcPr>
            <w:tcW w:type="dxa" w:w="1559"/>
          </w:tcPr>
          <w:p>
            <w:r/>
            <w:r>
              <w:rPr>
                <w:rFonts w:ascii="Calibri" w:hAnsi="Calibri" w:cs="Calibri" w:eastAsia="Calibri"/>
                <w:b w:val="0"/>
                <w:i w:val="0"/>
                <w:sz w:val="16"/>
                <w:szCs w:val="16"/>
              </w:rPr>
              <w:t>CFO</w:t>
            </w:r>
          </w:p>
        </w:tc>
      </w:tr>
      <w:tr>
        <w:tc>
          <w:tcPr>
            <w:tcW w:type="dxa" w:w="1559"/>
          </w:tcPr>
          <w:p>
            <w:r/>
            <w:r>
              <w:rPr>
                <w:rFonts w:ascii="Calibri" w:hAnsi="Calibri" w:cs="Calibri" w:eastAsia="Calibri"/>
                <w:b w:val="0"/>
                <w:i w:val="0"/>
                <w:sz w:val="16"/>
                <w:szCs w:val="16"/>
              </w:rPr>
              <w:t>HA surveyors</w:t>
            </w:r>
          </w:p>
        </w:tc>
        <w:tc>
          <w:tcPr>
            <w:tcW w:type="dxa" w:w="1559"/>
          </w:tcPr>
          <w:p>
            <w:r/>
            <w:r>
              <w:rPr>
                <w:rFonts w:ascii="Calibri" w:hAnsi="Calibri" w:cs="Calibri" w:eastAsia="Calibri"/>
                <w:b w:val="0"/>
                <w:i w:val="0"/>
                <w:sz w:val="16"/>
                <w:szCs w:val="16"/>
              </w:rPr>
              <w:t>External</w:t>
            </w:r>
          </w:p>
        </w:tc>
        <w:tc>
          <w:tcPr>
            <w:tcW w:type="dxa" w:w="1559"/>
          </w:tcPr>
          <w:p>
            <w:r/>
            <w:r>
              <w:rPr>
                <w:rFonts w:ascii="Calibri" w:hAnsi="Calibri" w:cs="Calibri" w:eastAsia="Calibri"/>
                <w:b w:val="0"/>
                <w:i w:val="0"/>
                <w:sz w:val="16"/>
                <w:szCs w:val="16"/>
              </w:rPr>
              <w:t>Evidence of information management controls</w:t>
            </w:r>
          </w:p>
        </w:tc>
        <w:tc>
          <w:tcPr>
            <w:tcW w:type="dxa" w:w="1559"/>
          </w:tcPr>
          <w:p>
            <w:r/>
            <w:r>
              <w:rPr>
                <w:rFonts w:ascii="Calibri" w:hAnsi="Calibri" w:cs="Calibri" w:eastAsia="Calibri"/>
                <w:b w:val="0"/>
                <w:i w:val="0"/>
                <w:sz w:val="16"/>
                <w:szCs w:val="16"/>
              </w:rPr>
              <w:t>Yes</w:t>
            </w:r>
          </w:p>
        </w:tc>
        <w:tc>
          <w:tcPr>
            <w:tcW w:type="dxa" w:w="1559"/>
          </w:tcPr>
          <w:p>
            <w:r/>
            <w:r>
              <w:rPr>
                <w:rFonts w:ascii="Calibri" w:hAnsi="Calibri" w:cs="Calibri" w:eastAsia="Calibri"/>
                <w:b w:val="0"/>
                <w:i w:val="0"/>
                <w:sz w:val="16"/>
                <w:szCs w:val="16"/>
              </w:rPr>
              <w:t>GV-REG-001 LR-07</w:t>
            </w:r>
          </w:p>
        </w:tc>
        <w:tc>
          <w:tcPr>
            <w:tcW w:type="dxa" w:w="1559"/>
          </w:tcPr>
          <w:p>
            <w:r/>
            <w:r>
              <w:rPr>
                <w:rFonts w:ascii="Calibri" w:hAnsi="Calibri" w:cs="Calibri" w:eastAsia="Calibri"/>
                <w:b w:val="0"/>
                <w:i w:val="0"/>
                <w:sz w:val="16"/>
                <w:szCs w:val="16"/>
              </w:rPr>
              <w:t>Quality and Risk Management Director</w:t>
            </w:r>
          </w:p>
        </w:tc>
      </w:tr>
    </w:tbl>
    <w:p>
      <w:pPr>
        <w:spacing w:after="40"/>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Review stakeholder expectations at the annual management review.</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Listing stakeholders without deciding which expectations become requirements.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GV.OC-02: Internal and external stakeholders and their cybersecurity expectations are understood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4.2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4.2 (not mandated as documented information)</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GV-RPT-001: Organizational Context and ISMS Scope Statement</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GV-REG-002  |  Stakeholder Requirements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