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Organizational Context and ISMS Scope Statement</w:t>
      </w:r>
    </w:p>
    <w:p>
      <w:pPr>
        <w:spacing w:after="80" w:before="0"/>
      </w:pPr>
      <w:r>
        <w:rPr>
          <w:rFonts w:ascii="Calibri" w:hAnsi="Calibri" w:cs="Calibri" w:eastAsia="Calibri"/>
          <w:b w:val="0"/>
          <w:i w:val="0"/>
          <w:color w:val="595959"/>
          <w:sz w:val="18"/>
          <w:szCs w:val="18"/>
        </w:rPr>
        <w:t>GV-RPT-001  |  Report  |  Organizational Context (GV.OC)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GV-RPT-001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Organizational Context and ISMS Scope Statement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23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23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Report</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Organizational Context (GV.OC)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4.3 (scope as documented information)</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15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23 September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statement documents the organization's mission, critical services, stakeholders, dependencies, and the scope of the information security management system (ISMS), which every risk decision builds on.</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report is used by the units and roles named in its parent document (GV-CHR-001) and covers the activities that document defines.</w:t>
      </w:r>
    </w:p>
    <w:p>
      <w:pPr>
        <w:pStyle w:val="Heading2"/>
        <w:keepNext/>
        <w:spacing w:before="120" w:after="80"/>
      </w:pPr>
      <w:r>
        <w:rPr>
          <w:rFonts w:ascii="Calibri" w:hAnsi="Calibri" w:cs="Calibri" w:eastAsia="Calibri"/>
          <w:b/>
          <w:i w:val="0"/>
          <w:color w:val="1F3864"/>
          <w:sz w:val="24"/>
          <w:szCs w:val="24"/>
          <w:bCs/>
        </w:rPr>
        <w:t>4.3 Mission and Critical Services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mission and the services whose disruption would cause severe harm (GV.OC-01, GV.OC-04).</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Mission: Provide safe, high-quality care to patients in Bangkok and Nonthaburi.</w:t>
      </w:r>
    </w:p>
    <w:p>
      <w:pPr>
        <w:pStyle w:val="ListBullet"/>
        <w:spacing w:after="40"/>
      </w:pPr>
      <w:r>
        <w:rPr>
          <w:rFonts w:ascii="Calibri" w:hAnsi="Calibri" w:cs="Calibri" w:eastAsia="Calibri"/>
          <w:b w:val="0"/>
          <w:i w:val="0"/>
          <w:sz w:val="21"/>
          <w:szCs w:val="21"/>
        </w:rPr>
        <w:t>Critical services: emergency care, inpatient care, operating theaters, diagnostic imaging, laboratory, pharmacy, and billing.</w:t>
      </w:r>
    </w:p>
    <w:p>
      <w:pPr>
        <w:pStyle w:val="ListBullet"/>
        <w:spacing w:after="40"/>
      </w:pPr>
      <w:r>
        <w:rPr>
          <w:rFonts w:ascii="Calibri" w:hAnsi="Calibri" w:cs="Calibri" w:eastAsia="Calibri"/>
          <w:b w:val="0"/>
          <w:i w:val="0"/>
          <w:sz w:val="21"/>
          <w:szCs w:val="21"/>
        </w:rPr>
        <w:t>Critical systems: HIS, PACS, LIS, pharmacy module, ERP, Microsoft 365, Active Directory, and the core network at both hospitals.</w:t>
      </w:r>
    </w:p>
    <w:p>
      <w:pPr>
        <w:pStyle w:val="Heading2"/>
        <w:keepNext/>
        <w:spacing w:before="120" w:after="80"/>
      </w:pPr>
      <w:r>
        <w:rPr>
          <w:rFonts w:ascii="Calibri" w:hAnsi="Calibri" w:cs="Calibri" w:eastAsia="Calibri"/>
          <w:b/>
          <w:i w:val="0"/>
          <w:color w:val="1F3864"/>
          <w:sz w:val="24"/>
          <w:szCs w:val="24"/>
          <w:bCs/>
        </w:rPr>
        <w:t>4.4 Internal and External Issues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issues that affect the ability to achieve security outcomes (ISO/IEC 27001:2022 Clause 4.1).</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rPr>
          <w:tblHeader w:val="true"/>
        </w:trPr>
        <w:tc>
          <w:tcPr>
            <w:tcW w:type="dxa" w:w="3118"/>
            <w:shd w:val="clear" w:color="auto" w:fill="1F3864"/>
          </w:tcPr>
          <w:p>
            <w:r/>
            <w:r>
              <w:rPr>
                <w:rFonts w:ascii="Calibri" w:hAnsi="Calibri" w:cs="Calibri" w:eastAsia="Calibri"/>
                <w:b/>
                <w:i w:val="0"/>
                <w:color w:val="FFFFFF"/>
                <w:sz w:val="18"/>
                <w:szCs w:val="18"/>
                <w:bCs/>
              </w:rPr>
              <w:t>Type</w:t>
            </w:r>
          </w:p>
        </w:tc>
        <w:tc>
          <w:tcPr>
            <w:tcW w:type="dxa" w:w="3118"/>
            <w:shd w:val="clear" w:color="auto" w:fill="1F3864"/>
          </w:tcPr>
          <w:p>
            <w:r/>
            <w:r>
              <w:rPr>
                <w:rFonts w:ascii="Calibri" w:hAnsi="Calibri" w:cs="Calibri" w:eastAsia="Calibri"/>
                <w:b/>
                <w:i w:val="0"/>
                <w:color w:val="FFFFFF"/>
                <w:sz w:val="18"/>
                <w:szCs w:val="18"/>
                <w:bCs/>
              </w:rPr>
              <w:t>Issue</w:t>
            </w:r>
          </w:p>
        </w:tc>
        <w:tc>
          <w:tcPr>
            <w:tcW w:type="dxa" w:w="3118"/>
            <w:shd w:val="clear" w:color="auto" w:fill="1F3864"/>
          </w:tcPr>
          <w:p>
            <w:r/>
            <w:r>
              <w:rPr>
                <w:rFonts w:ascii="Calibri" w:hAnsi="Calibri" w:cs="Calibri" w:eastAsia="Calibri"/>
                <w:b/>
                <w:i w:val="0"/>
                <w:color w:val="FFFFFF"/>
                <w:sz w:val="18"/>
                <w:szCs w:val="18"/>
                <w:bCs/>
              </w:rPr>
              <w:t>Effect on security</w:t>
            </w:r>
          </w:p>
        </w:tc>
      </w:tr>
      <w:tr>
        <w:tc>
          <w:tcPr>
            <w:tcW w:type="dxa" w:w="3118"/>
          </w:tcPr>
          <w:p>
            <w:r/>
            <w:r>
              <w:rPr>
                <w:rFonts w:ascii="Calibri" w:hAnsi="Calibri" w:cs="Calibri" w:eastAsia="Calibri"/>
                <w:b w:val="0"/>
                <w:i w:val="0"/>
                <w:sz w:val="18"/>
                <w:szCs w:val="18"/>
              </w:rPr>
              <w:t>Internal</w:t>
            </w:r>
          </w:p>
        </w:tc>
        <w:tc>
          <w:tcPr>
            <w:tcW w:type="dxa" w:w="3118"/>
          </w:tcPr>
          <w:p>
            <w:r/>
            <w:r>
              <w:rPr>
                <w:rFonts w:ascii="Calibri" w:hAnsi="Calibri" w:cs="Calibri" w:eastAsia="Calibri"/>
                <w:b w:val="0"/>
                <w:i w:val="0"/>
                <w:sz w:val="18"/>
                <w:szCs w:val="18"/>
              </w:rPr>
              <w:t>Security team of three for 1,200 staff</w:t>
            </w:r>
          </w:p>
        </w:tc>
        <w:tc>
          <w:tcPr>
            <w:tcW w:type="dxa" w:w="3118"/>
          </w:tcPr>
          <w:p>
            <w:r/>
            <w:r>
              <w:rPr>
                <w:rFonts w:ascii="Calibri" w:hAnsi="Calibri" w:cs="Calibri" w:eastAsia="Calibri"/>
                <w:b w:val="0"/>
                <w:i w:val="0"/>
                <w:sz w:val="18"/>
                <w:szCs w:val="18"/>
              </w:rPr>
              <w:t>Relies on the MSSP and automation</w:t>
            </w:r>
          </w:p>
        </w:tc>
      </w:tr>
      <w:tr>
        <w:tc>
          <w:tcPr>
            <w:tcW w:type="dxa" w:w="3118"/>
          </w:tcPr>
          <w:p>
            <w:r/>
            <w:r>
              <w:rPr>
                <w:rFonts w:ascii="Calibri" w:hAnsi="Calibri" w:cs="Calibri" w:eastAsia="Calibri"/>
                <w:b w:val="0"/>
                <w:i w:val="0"/>
                <w:sz w:val="18"/>
                <w:szCs w:val="18"/>
              </w:rPr>
              <w:t>Internal</w:t>
            </w:r>
          </w:p>
        </w:tc>
        <w:tc>
          <w:tcPr>
            <w:tcW w:type="dxa" w:w="3118"/>
          </w:tcPr>
          <w:p>
            <w:r/>
            <w:r>
              <w:rPr>
                <w:rFonts w:ascii="Calibri" w:hAnsi="Calibri" w:cs="Calibri" w:eastAsia="Calibri"/>
                <w:b w:val="0"/>
                <w:i w:val="0"/>
                <w:sz w:val="18"/>
                <w:szCs w:val="18"/>
              </w:rPr>
              <w:t>Legacy medical devices on unsupported operating systems</w:t>
            </w:r>
          </w:p>
        </w:tc>
        <w:tc>
          <w:tcPr>
            <w:tcW w:type="dxa" w:w="3118"/>
          </w:tcPr>
          <w:p>
            <w:r/>
            <w:r>
              <w:rPr>
                <w:rFonts w:ascii="Calibri" w:hAnsi="Calibri" w:cs="Calibri" w:eastAsia="Calibri"/>
                <w:b w:val="0"/>
                <w:i w:val="0"/>
                <w:sz w:val="18"/>
                <w:szCs w:val="18"/>
              </w:rPr>
              <w:t>Requires network isolation and exceptions</w:t>
            </w:r>
          </w:p>
        </w:tc>
      </w:tr>
      <w:tr>
        <w:tc>
          <w:tcPr>
            <w:tcW w:type="dxa" w:w="3118"/>
          </w:tcPr>
          <w:p>
            <w:r/>
            <w:r>
              <w:rPr>
                <w:rFonts w:ascii="Calibri" w:hAnsi="Calibri" w:cs="Calibri" w:eastAsia="Calibri"/>
                <w:b w:val="0"/>
                <w:i w:val="0"/>
                <w:sz w:val="18"/>
                <w:szCs w:val="18"/>
              </w:rPr>
              <w:t>Internal</w:t>
            </w:r>
          </w:p>
        </w:tc>
        <w:tc>
          <w:tcPr>
            <w:tcW w:type="dxa" w:w="3118"/>
          </w:tcPr>
          <w:p>
            <w:r/>
            <w:r>
              <w:rPr>
                <w:rFonts w:ascii="Calibri" w:hAnsi="Calibri" w:cs="Calibri" w:eastAsia="Calibri"/>
                <w:b w:val="0"/>
                <w:i w:val="0"/>
                <w:sz w:val="18"/>
                <w:szCs w:val="18"/>
              </w:rPr>
              <w:t>Physician resistance to login controls at the bedside</w:t>
            </w:r>
          </w:p>
        </w:tc>
        <w:tc>
          <w:tcPr>
            <w:tcW w:type="dxa" w:w="3118"/>
          </w:tcPr>
          <w:p>
            <w:r/>
            <w:r>
              <w:rPr>
                <w:rFonts w:ascii="Calibri" w:hAnsi="Calibri" w:cs="Calibri" w:eastAsia="Calibri"/>
                <w:b w:val="0"/>
                <w:i w:val="0"/>
                <w:sz w:val="18"/>
                <w:szCs w:val="18"/>
              </w:rPr>
              <w:t>Requires fast authentication options such as badge tap</w:t>
            </w:r>
          </w:p>
        </w:tc>
      </w:tr>
      <w:tr>
        <w:tc>
          <w:tcPr>
            <w:tcW w:type="dxa" w:w="3118"/>
          </w:tcPr>
          <w:p>
            <w:r/>
            <w:r>
              <w:rPr>
                <w:rFonts w:ascii="Calibri" w:hAnsi="Calibri" w:cs="Calibri" w:eastAsia="Calibri"/>
                <w:b w:val="0"/>
                <w:i w:val="0"/>
                <w:sz w:val="18"/>
                <w:szCs w:val="18"/>
              </w:rPr>
              <w:t>External</w:t>
            </w:r>
          </w:p>
        </w:tc>
        <w:tc>
          <w:tcPr>
            <w:tcW w:type="dxa" w:w="3118"/>
          </w:tcPr>
          <w:p>
            <w:r/>
            <w:r>
              <w:rPr>
                <w:rFonts w:ascii="Calibri" w:hAnsi="Calibri" w:cs="Calibri" w:eastAsia="Calibri"/>
                <w:b w:val="0"/>
                <w:i w:val="0"/>
                <w:sz w:val="18"/>
                <w:szCs w:val="18"/>
              </w:rPr>
              <w:t>Ransomware campaigns targeting Thai hospitals</w:t>
            </w:r>
          </w:p>
        </w:tc>
        <w:tc>
          <w:tcPr>
            <w:tcW w:type="dxa" w:w="3118"/>
          </w:tcPr>
          <w:p>
            <w:r/>
            <w:r>
              <w:rPr>
                <w:rFonts w:ascii="Calibri" w:hAnsi="Calibri" w:cs="Calibri" w:eastAsia="Calibri"/>
                <w:b w:val="0"/>
                <w:i w:val="0"/>
                <w:sz w:val="18"/>
                <w:szCs w:val="18"/>
              </w:rPr>
              <w:t>Top risk R-001</w:t>
            </w:r>
          </w:p>
        </w:tc>
      </w:tr>
      <w:tr>
        <w:tc>
          <w:tcPr>
            <w:tcW w:type="dxa" w:w="3118"/>
          </w:tcPr>
          <w:p>
            <w:r/>
            <w:r>
              <w:rPr>
                <w:rFonts w:ascii="Calibri" w:hAnsi="Calibri" w:cs="Calibri" w:eastAsia="Calibri"/>
                <w:b w:val="0"/>
                <w:i w:val="0"/>
                <w:sz w:val="18"/>
                <w:szCs w:val="18"/>
              </w:rPr>
              <w:t>External</w:t>
            </w:r>
          </w:p>
        </w:tc>
        <w:tc>
          <w:tcPr>
            <w:tcW w:type="dxa" w:w="3118"/>
          </w:tcPr>
          <w:p>
            <w:r/>
            <w:r>
              <w:rPr>
                <w:rFonts w:ascii="Calibri" w:hAnsi="Calibri" w:cs="Calibri" w:eastAsia="Calibri"/>
                <w:b w:val="0"/>
                <w:i w:val="0"/>
                <w:sz w:val="18"/>
                <w:szCs w:val="18"/>
              </w:rPr>
              <w:t>CII duties under the Cybersecurity Act and CRC Notification 2024</w:t>
            </w:r>
          </w:p>
        </w:tc>
        <w:tc>
          <w:tcPr>
            <w:tcW w:type="dxa" w:w="3118"/>
          </w:tcPr>
          <w:p>
            <w:r/>
            <w:r>
              <w:rPr>
                <w:rFonts w:ascii="Calibri" w:hAnsi="Calibri" w:cs="Calibri" w:eastAsia="Calibri"/>
                <w:b w:val="0"/>
                <w:i w:val="0"/>
                <w:sz w:val="18"/>
                <w:szCs w:val="18"/>
              </w:rPr>
              <w:t>Annual assessment, audit, and 24-hour reporting</w:t>
            </w:r>
          </w:p>
        </w:tc>
      </w:tr>
    </w:tbl>
    <w:p>
      <w:pPr>
        <w:spacing w:after="40"/>
      </w:pPr>
    </w:p>
    <w:p>
      <w:pPr>
        <w:pStyle w:val="Heading2"/>
        <w:keepNext/>
        <w:spacing w:before="120" w:after="80"/>
      </w:pPr>
      <w:r>
        <w:rPr>
          <w:rFonts w:ascii="Calibri" w:hAnsi="Calibri" w:cs="Calibri" w:eastAsia="Calibri"/>
          <w:b/>
          <w:i w:val="0"/>
          <w:color w:val="1F3864"/>
          <w:sz w:val="24"/>
          <w:szCs w:val="24"/>
          <w:bCs/>
        </w:rPr>
        <w:t>4.5 Interested Parties and Dependencies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Identify stakeholders and their requirements (GV.OC-02) and the external services the organization depends on (GV.OC-05).</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Key stakeholders: patients, physicians, the Ministry of Public Health, NCSA, PDPC, insurers, and HA surveyors. Key dependencies: two internet service providers, Microsoft 365, HIS Vendor A, PACS Vendor B, LIS Vendor C, ERP hosting provider, and the MSSP.</w:t>
      </w:r>
    </w:p>
    <w:p>
      <w:pPr>
        <w:pStyle w:val="Heading2"/>
        <w:keepNext/>
        <w:spacing w:before="120" w:after="80"/>
      </w:pPr>
      <w:r>
        <w:rPr>
          <w:rFonts w:ascii="Calibri" w:hAnsi="Calibri" w:cs="Calibri" w:eastAsia="Calibri"/>
          <w:b/>
          <w:i w:val="0"/>
          <w:color w:val="1F3864"/>
          <w:sz w:val="24"/>
          <w:szCs w:val="24"/>
          <w:bCs/>
        </w:rPr>
        <w:t>4.6 ISMS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ISMS boundaries: organizational units, locations, systems, interfaces, and exclusions with justification (ISO/IEC 27001:2022 Clause 4.3).</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 ISMS covers the management of the Hospital Information System (HIS) and the primary data center at CMC Riverside Hospital, including supporting IT operations, security, and vendor management. Interfaces: PACS, LIS, ERP, and the DR site at CMC Nonthaburi Hospital. Excluded for the 2027 certification: the patient portal (planned for the 2028 scope extension).</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Start with a narrow, defensible ISMS scope around the most critical service, then extend.</w:t>
      </w:r>
    </w:p>
    <w:p>
      <w:pPr>
        <w:pStyle w:val="ListBullet"/>
        <w:spacing w:after="40"/>
      </w:pPr>
      <w:r>
        <w:rPr>
          <w:rFonts w:ascii="Calibri" w:hAnsi="Calibri" w:cs="Calibri" w:eastAsia="Calibri"/>
          <w:b w:val="0"/>
          <w:i w:val="0"/>
          <w:sz w:val="21"/>
          <w:szCs w:val="21"/>
        </w:rPr>
        <w:t>Use the same critical services list in the BIA, risk register, and BCP to keep decisions consistent.</w:t>
      </w:r>
    </w:p>
    <w:p>
      <w:pPr>
        <w:pStyle w:val="ListBullet"/>
        <w:spacing w:after="40"/>
      </w:pPr>
      <w:r>
        <w:rPr>
          <w:rFonts w:ascii="Calibri" w:hAnsi="Calibri" w:cs="Calibri" w:eastAsia="Calibri"/>
          <w:b w:val="0"/>
          <w:i w:val="0"/>
          <w:sz w:val="21"/>
          <w:szCs w:val="21"/>
        </w:rPr>
        <w:t>Review the context each year at management review.</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Defining the scope as 'all IT' without boundaries, which makes certification and audit unmanageable.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GV.OC-01: Organizational mission is understood and informs cybersecurity risk management</w:t>
            </w:r>
          </w:p>
          <w:p>
            <w:r>
              <w:rPr>
                <w:rFonts w:ascii="Calibri" w:hAnsi="Calibri" w:cs="Calibri" w:eastAsia="Calibri"/>
                <w:b w:val="0"/>
                <w:i w:val="0"/>
                <w:sz w:val="18"/>
                <w:szCs w:val="18"/>
              </w:rPr>
              <w:t>GV.OC-02: Internal and external stakeholders and their cybersecurity expectations are understood</w:t>
            </w:r>
          </w:p>
          <w:p>
            <w:r>
              <w:rPr>
                <w:rFonts w:ascii="Calibri" w:hAnsi="Calibri" w:cs="Calibri" w:eastAsia="Calibri"/>
                <w:b w:val="0"/>
                <w:i w:val="0"/>
                <w:sz w:val="18"/>
                <w:szCs w:val="18"/>
              </w:rPr>
              <w:t>GV.OC-04: Critical objectives, capabilities, and services that external stakeholders depend on are understood</w:t>
            </w:r>
          </w:p>
          <w:p>
            <w:r>
              <w:rPr>
                <w:rFonts w:ascii="Calibri" w:hAnsi="Calibri" w:cs="Calibri" w:eastAsia="Calibri"/>
                <w:b w:val="0"/>
                <w:i w:val="0"/>
                <w:sz w:val="18"/>
                <w:szCs w:val="18"/>
              </w:rPr>
              <w:t>GV.OC-05: Outcomes, capabilities, and services that the organization depends on are understood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4.1, Clause 4.2, Clause 4.3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PM-11, PM-8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4.3 (scope as documented information)</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GV-CHR-001: Cybersecurity Governance Charter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GV-REG-001: Legal, Regulatory, and Contractual Requirements Register</w:t>
            </w:r>
          </w:p>
          <w:p>
            <w:r>
              <w:rPr>
                <w:rFonts w:ascii="Calibri" w:hAnsi="Calibri" w:cs="Calibri" w:eastAsia="Calibri"/>
                <w:b w:val="0"/>
                <w:i w:val="0"/>
                <w:sz w:val="18"/>
                <w:szCs w:val="18"/>
              </w:rPr>
              <w:t>GV-REG-002: Stakeholder Requirements Register</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GV-RPT-001  |  Organizational Context and ISMS Scope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