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Cybersecurity Strategy and Roadmap</w:t>
      </w:r>
    </w:p>
    <w:p>
      <w:pPr>
        <w:spacing w:after="80" w:before="0"/>
      </w:pPr>
      <w:r>
        <w:rPr>
          <w:rFonts w:ascii="Calibri" w:hAnsi="Calibri" w:cs="Calibri" w:eastAsia="Calibri"/>
          <w:b w:val="0"/>
          <w:i w:val="0"/>
          <w:color w:val="595959"/>
          <w:sz w:val="18"/>
          <w:szCs w:val="18"/>
        </w:rPr>
        <w:t>GV-STR-001  |  Strategy  |  Organizational Context (GV.OC)</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GV-STR-001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Cybersecurity Strategy and Roadmap</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CMC Board of Directors</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12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12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0: Charter, Strategy, and Statement</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Strategy</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Organizational Context (GV.OC)</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6.2 (documented information on information security objectives; the roadmap section is common practice)</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8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CMC Board of Directors</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12 June 2026</w:t>
            </w:r>
          </w:p>
        </w:tc>
        <w:tc>
          <w:tcPr>
            <w:tcW w:type="dxa" w:w="3742"/>
          </w:tcPr>
          <w:p>
            <w:r/>
            <w:r>
              <w:rPr>
                <w:rFonts w:ascii="Calibri" w:hAnsi="Calibri" w:cs="Calibri" w:eastAsia="Calibri"/>
                <w:b w:val="0"/>
                <w:i w:val="0"/>
                <w:sz w:val="18"/>
                <w:szCs w:val="18"/>
              </w:rPr>
              <w:t>Updated in May 2026 after the 15% budget reduction; data loss prevention deferred to 2027 and targets re-baselined.</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CMC Board of Directors</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strategy sets the multi-year direction, objectives, initiatives, and investment for cybersecurity, derived from the gap between the current and target NIST CSF 2.0 profiles.</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strategy covers Chaophraya Medical Center (CMC) as a whole, including all business units, sites, and outsourced services.</w:t>
      </w:r>
    </w:p>
    <w:p>
      <w:pPr>
        <w:pStyle w:val="Heading2"/>
        <w:keepNext/>
        <w:spacing w:before="120" w:after="80"/>
      </w:pPr>
      <w:r>
        <w:rPr>
          <w:rFonts w:ascii="Calibri" w:hAnsi="Calibri" w:cs="Calibri" w:eastAsia="Calibri"/>
          <w:b/>
          <w:i w:val="0"/>
          <w:color w:val="1F3864"/>
          <w:sz w:val="24"/>
          <w:szCs w:val="24"/>
          <w:bCs/>
        </w:rPr>
        <w:t>4.3 Strategic Context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Summarize business drivers, threats, regulatory obligations, and current maturity.</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Business drivers: 24x7 patient care, patient portal expansion, HA re-accreditation in 2027, and ISO/IEC 27001 certification for HIS in 2027.</w:t>
      </w:r>
    </w:p>
    <w:p>
      <w:pPr>
        <w:pStyle w:val="ListBullet"/>
        <w:spacing w:after="40"/>
      </w:pPr>
      <w:r>
        <w:rPr>
          <w:rFonts w:ascii="Calibri" w:hAnsi="Calibri" w:cs="Calibri" w:eastAsia="Calibri"/>
          <w:b w:val="0"/>
          <w:i w:val="0"/>
          <w:sz w:val="21"/>
          <w:szCs w:val="21"/>
        </w:rPr>
        <w:t>Top threats: ransomware against hospitals, phishing and email compromise, insecure vendor remote access to medical systems, and legacy medical devices.</w:t>
      </w:r>
    </w:p>
    <w:p>
      <w:pPr>
        <w:pStyle w:val="ListBullet"/>
        <w:spacing w:after="40"/>
      </w:pPr>
      <w:r>
        <w:rPr>
          <w:rFonts w:ascii="Calibri" w:hAnsi="Calibri" w:cs="Calibri" w:eastAsia="Calibri"/>
          <w:b w:val="0"/>
          <w:i w:val="0"/>
          <w:sz w:val="21"/>
          <w:szCs w:val="21"/>
        </w:rPr>
        <w:t>Obligations: PDPA (health data), Cybersecurity Act as CII, Computer Crime Act, Hospital Accreditation.</w:t>
      </w:r>
    </w:p>
    <w:p>
      <w:pPr>
        <w:pStyle w:val="ListBullet"/>
        <w:spacing w:after="40"/>
      </w:pPr>
      <w:r>
        <w:rPr>
          <w:rFonts w:ascii="Calibri" w:hAnsi="Calibri" w:cs="Calibri" w:eastAsia="Calibri"/>
          <w:b w:val="0"/>
          <w:i w:val="0"/>
          <w:sz w:val="21"/>
          <w:szCs w:val="21"/>
        </w:rPr>
        <w:t>Current maturity (2025 baseline): CSF Tier 1 (Partial) overall; Tier 2 target by end of 2026 and Tier 3 for Respond and Recover by 2027.</w:t>
      </w:r>
    </w:p>
    <w:p>
      <w:pPr>
        <w:pStyle w:val="Heading2"/>
        <w:keepNext/>
        <w:spacing w:before="120" w:after="80"/>
      </w:pPr>
      <w:r>
        <w:rPr>
          <w:rFonts w:ascii="Calibri" w:hAnsi="Calibri" w:cs="Calibri" w:eastAsia="Calibri"/>
          <w:b/>
          <w:i w:val="0"/>
          <w:color w:val="1F3864"/>
          <w:sz w:val="24"/>
          <w:szCs w:val="24"/>
          <w:bCs/>
        </w:rPr>
        <w:t>4.4 Objectives and Targets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measurable objectives with targets and dates (ISO/IEC 27001:2022 Clause 6.2).</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268"/>
        <w:gridCol w:w="2835"/>
        <w:gridCol w:w="1417"/>
        <w:gridCol w:w="1701"/>
        <w:gridCol w:w="1134"/>
      </w:tblGrid>
      <w:tr>
        <w:trPr>
          <w:tblHeader w:val="true"/>
        </w:trPr>
        <w:tc>
          <w:tcPr>
            <w:tcW w:type="dxa" w:w="2268"/>
            <w:shd w:val="clear" w:color="auto" w:fill="1F3864"/>
          </w:tcPr>
          <w:p>
            <w:r/>
            <w:r>
              <w:rPr>
                <w:rFonts w:ascii="Calibri" w:hAnsi="Calibri" w:cs="Calibri" w:eastAsia="Calibri"/>
                <w:b/>
                <w:i w:val="0"/>
                <w:color w:val="FFFFFF"/>
                <w:sz w:val="18"/>
                <w:szCs w:val="18"/>
                <w:bCs/>
              </w:rPr>
              <w:t>Objective</w:t>
            </w:r>
          </w:p>
        </w:tc>
        <w:tc>
          <w:tcPr>
            <w:tcW w:type="dxa" w:w="2835"/>
            <w:shd w:val="clear" w:color="auto" w:fill="1F3864"/>
          </w:tcPr>
          <w:p>
            <w:r/>
            <w:r>
              <w:rPr>
                <w:rFonts w:ascii="Calibri" w:hAnsi="Calibri" w:cs="Calibri" w:eastAsia="Calibri"/>
                <w:b/>
                <w:i w:val="0"/>
                <w:color w:val="FFFFFF"/>
                <w:sz w:val="18"/>
                <w:szCs w:val="18"/>
                <w:bCs/>
              </w:rPr>
              <w:t>Measure</w:t>
            </w:r>
          </w:p>
        </w:tc>
        <w:tc>
          <w:tcPr>
            <w:tcW w:type="dxa" w:w="1417"/>
            <w:shd w:val="clear" w:color="auto" w:fill="1F3864"/>
          </w:tcPr>
          <w:p>
            <w:r/>
            <w:r>
              <w:rPr>
                <w:rFonts w:ascii="Calibri" w:hAnsi="Calibri" w:cs="Calibri" w:eastAsia="Calibri"/>
                <w:b/>
                <w:i w:val="0"/>
                <w:color w:val="FFFFFF"/>
                <w:sz w:val="18"/>
                <w:szCs w:val="18"/>
                <w:bCs/>
              </w:rPr>
              <w:t>Target</w:t>
            </w:r>
          </w:p>
        </w:tc>
        <w:tc>
          <w:tcPr>
            <w:tcW w:type="dxa" w:w="1701"/>
            <w:shd w:val="clear" w:color="auto" w:fill="1F3864"/>
          </w:tcPr>
          <w:p>
            <w:r/>
            <w:r>
              <w:rPr>
                <w:rFonts w:ascii="Calibri" w:hAnsi="Calibri" w:cs="Calibri" w:eastAsia="Calibri"/>
                <w:b/>
                <w:i w:val="0"/>
                <w:color w:val="FFFFFF"/>
                <w:sz w:val="18"/>
                <w:szCs w:val="18"/>
                <w:bCs/>
              </w:rPr>
              <w:t>Owner</w:t>
            </w:r>
          </w:p>
        </w:tc>
        <w:tc>
          <w:tcPr>
            <w:tcW w:type="dxa" w:w="1134"/>
            <w:shd w:val="clear" w:color="auto" w:fill="1F3864"/>
          </w:tcPr>
          <w:p>
            <w:r/>
            <w:r>
              <w:rPr>
                <w:rFonts w:ascii="Calibri" w:hAnsi="Calibri" w:cs="Calibri" w:eastAsia="Calibri"/>
                <w:b/>
                <w:i w:val="0"/>
                <w:color w:val="FFFFFF"/>
                <w:sz w:val="18"/>
                <w:szCs w:val="18"/>
                <w:bCs/>
              </w:rPr>
              <w:t>Date</w:t>
            </w:r>
          </w:p>
        </w:tc>
      </w:tr>
      <w:tr>
        <w:tc>
          <w:tcPr>
            <w:tcW w:type="dxa" w:w="2268"/>
          </w:tcPr>
          <w:p>
            <w:r/>
            <w:r>
              <w:rPr>
                <w:rFonts w:ascii="Calibri" w:hAnsi="Calibri" w:cs="Calibri" w:eastAsia="Calibri"/>
                <w:b w:val="0"/>
                <w:i w:val="0"/>
                <w:sz w:val="18"/>
                <w:szCs w:val="18"/>
              </w:rPr>
              <w:t>Reduce ransomware impact</w:t>
            </w:r>
          </w:p>
        </w:tc>
        <w:tc>
          <w:tcPr>
            <w:tcW w:type="dxa" w:w="2835"/>
          </w:tcPr>
          <w:p>
            <w:r/>
            <w:r>
              <w:rPr>
                <w:rFonts w:ascii="Calibri" w:hAnsi="Calibri" w:cs="Calibri" w:eastAsia="Calibri"/>
                <w:b w:val="0"/>
                <w:i w:val="0"/>
                <w:sz w:val="18"/>
                <w:szCs w:val="18"/>
              </w:rPr>
              <w:t>HIS, PACS, LIS, ERP with tested immutable backup</w:t>
            </w:r>
          </w:p>
        </w:tc>
        <w:tc>
          <w:tcPr>
            <w:tcW w:type="dxa" w:w="1417"/>
          </w:tcPr>
          <w:p>
            <w:r/>
            <w:r>
              <w:rPr>
                <w:rFonts w:ascii="Calibri" w:hAnsi="Calibri" w:cs="Calibri" w:eastAsia="Calibri"/>
                <w:b w:val="0"/>
                <w:i w:val="0"/>
                <w:sz w:val="18"/>
                <w:szCs w:val="18"/>
              </w:rPr>
              <w:t>100% (achieved June 2026)</w:t>
            </w:r>
          </w:p>
        </w:tc>
        <w:tc>
          <w:tcPr>
            <w:tcW w:type="dxa" w:w="1701"/>
          </w:tcPr>
          <w:p>
            <w:r/>
            <w:r>
              <w:rPr>
                <w:rFonts w:ascii="Calibri" w:hAnsi="Calibri" w:cs="Calibri" w:eastAsia="Calibri"/>
                <w:b w:val="0"/>
                <w:i w:val="0"/>
                <w:sz w:val="18"/>
                <w:szCs w:val="18"/>
              </w:rPr>
              <w:t>IT Infrastructure Manager</w:t>
            </w:r>
          </w:p>
        </w:tc>
        <w:tc>
          <w:tcPr>
            <w:tcW w:type="dxa" w:w="1134"/>
          </w:tcPr>
          <w:p>
            <w:r/>
            <w:r>
              <w:rPr>
                <w:rFonts w:ascii="Calibri" w:hAnsi="Calibri" w:cs="Calibri" w:eastAsia="Calibri"/>
                <w:b w:val="0"/>
                <w:i w:val="0"/>
                <w:sz w:val="18"/>
                <w:szCs w:val="18"/>
              </w:rPr>
              <w:t>June 2026</w:t>
            </w:r>
          </w:p>
        </w:tc>
      </w:tr>
      <w:tr>
        <w:tc>
          <w:tcPr>
            <w:tcW w:type="dxa" w:w="2268"/>
          </w:tcPr>
          <w:p>
            <w:r/>
            <w:r>
              <w:rPr>
                <w:rFonts w:ascii="Calibri" w:hAnsi="Calibri" w:cs="Calibri" w:eastAsia="Calibri"/>
                <w:b w:val="0"/>
                <w:i w:val="0"/>
                <w:sz w:val="18"/>
                <w:szCs w:val="18"/>
              </w:rPr>
              <w:t>Strengthen identity security</w:t>
            </w:r>
          </w:p>
        </w:tc>
        <w:tc>
          <w:tcPr>
            <w:tcW w:type="dxa" w:w="2835"/>
          </w:tcPr>
          <w:p>
            <w:r/>
            <w:r>
              <w:rPr>
                <w:rFonts w:ascii="Calibri" w:hAnsi="Calibri" w:cs="Calibri" w:eastAsia="Calibri"/>
                <w:b w:val="0"/>
                <w:i w:val="0"/>
                <w:sz w:val="18"/>
                <w:szCs w:val="18"/>
              </w:rPr>
              <w:t>Remote, vendor, and privileged access with MFA</w:t>
            </w:r>
          </w:p>
        </w:tc>
        <w:tc>
          <w:tcPr>
            <w:tcW w:type="dxa" w:w="1417"/>
          </w:tcPr>
          <w:p>
            <w:r/>
            <w:r>
              <w:rPr>
                <w:rFonts w:ascii="Calibri" w:hAnsi="Calibri" w:cs="Calibri" w:eastAsia="Calibri"/>
                <w:b w:val="0"/>
                <w:i w:val="0"/>
                <w:sz w:val="18"/>
                <w:szCs w:val="18"/>
              </w:rPr>
              <w:t>100% (currently 92%)</w:t>
            </w:r>
          </w:p>
        </w:tc>
        <w:tc>
          <w:tcPr>
            <w:tcW w:type="dxa" w:w="1701"/>
          </w:tcPr>
          <w:p>
            <w:r/>
            <w:r>
              <w:rPr>
                <w:rFonts w:ascii="Calibri" w:hAnsi="Calibri" w:cs="Calibri" w:eastAsia="Calibri"/>
                <w:b w:val="0"/>
                <w:i w:val="0"/>
                <w:sz w:val="18"/>
                <w:szCs w:val="18"/>
              </w:rPr>
              <w:t>Security Manager</w:t>
            </w:r>
          </w:p>
        </w:tc>
        <w:tc>
          <w:tcPr>
            <w:tcW w:type="dxa" w:w="1134"/>
          </w:tcPr>
          <w:p>
            <w:r/>
            <w:r>
              <w:rPr>
                <w:rFonts w:ascii="Calibri" w:hAnsi="Calibri" w:cs="Calibri" w:eastAsia="Calibri"/>
                <w:b w:val="0"/>
                <w:i w:val="0"/>
                <w:sz w:val="18"/>
                <w:szCs w:val="18"/>
              </w:rPr>
              <w:t>December 2026</w:t>
            </w:r>
          </w:p>
        </w:tc>
      </w:tr>
      <w:tr>
        <w:tc>
          <w:tcPr>
            <w:tcW w:type="dxa" w:w="2268"/>
          </w:tcPr>
          <w:p>
            <w:r/>
            <w:r>
              <w:rPr>
                <w:rFonts w:ascii="Calibri" w:hAnsi="Calibri" w:cs="Calibri" w:eastAsia="Calibri"/>
                <w:b w:val="0"/>
                <w:i w:val="0"/>
                <w:sz w:val="18"/>
                <w:szCs w:val="18"/>
              </w:rPr>
              <w:t>Improve detection</w:t>
            </w:r>
          </w:p>
        </w:tc>
        <w:tc>
          <w:tcPr>
            <w:tcW w:type="dxa" w:w="2835"/>
          </w:tcPr>
          <w:p>
            <w:r/>
            <w:r>
              <w:rPr>
                <w:rFonts w:ascii="Calibri" w:hAnsi="Calibri" w:cs="Calibri" w:eastAsia="Calibri"/>
                <w:b w:val="0"/>
                <w:i w:val="0"/>
                <w:sz w:val="18"/>
                <w:szCs w:val="18"/>
              </w:rPr>
              <w:t>Critical log sources monitored by MSSP</w:t>
            </w:r>
          </w:p>
        </w:tc>
        <w:tc>
          <w:tcPr>
            <w:tcW w:type="dxa" w:w="1417"/>
          </w:tcPr>
          <w:p>
            <w:r/>
            <w:r>
              <w:rPr>
                <w:rFonts w:ascii="Calibri" w:hAnsi="Calibri" w:cs="Calibri" w:eastAsia="Calibri"/>
                <w:b w:val="0"/>
                <w:i w:val="0"/>
                <w:sz w:val="18"/>
                <w:szCs w:val="18"/>
              </w:rPr>
              <w:t>95% (currently 81%)</w:t>
            </w:r>
          </w:p>
        </w:tc>
        <w:tc>
          <w:tcPr>
            <w:tcW w:type="dxa" w:w="1701"/>
          </w:tcPr>
          <w:p>
            <w:r/>
            <w:r>
              <w:rPr>
                <w:rFonts w:ascii="Calibri" w:hAnsi="Calibri" w:cs="Calibri" w:eastAsia="Calibri"/>
                <w:b w:val="0"/>
                <w:i w:val="0"/>
                <w:sz w:val="18"/>
                <w:szCs w:val="18"/>
              </w:rPr>
              <w:t>SOC Lead</w:t>
            </w:r>
          </w:p>
        </w:tc>
        <w:tc>
          <w:tcPr>
            <w:tcW w:type="dxa" w:w="1134"/>
          </w:tcPr>
          <w:p>
            <w:r/>
            <w:r>
              <w:rPr>
                <w:rFonts w:ascii="Calibri" w:hAnsi="Calibri" w:cs="Calibri" w:eastAsia="Calibri"/>
                <w:b w:val="0"/>
                <w:i w:val="0"/>
                <w:sz w:val="18"/>
                <w:szCs w:val="18"/>
              </w:rPr>
              <w:t>December 2026</w:t>
            </w:r>
          </w:p>
        </w:tc>
      </w:tr>
      <w:tr>
        <w:tc>
          <w:tcPr>
            <w:tcW w:type="dxa" w:w="2268"/>
          </w:tcPr>
          <w:p>
            <w:r/>
            <w:r>
              <w:rPr>
                <w:rFonts w:ascii="Calibri" w:hAnsi="Calibri" w:cs="Calibri" w:eastAsia="Calibri"/>
                <w:b w:val="0"/>
                <w:i w:val="0"/>
                <w:sz w:val="18"/>
                <w:szCs w:val="18"/>
              </w:rPr>
              <w:t>Build security culture</w:t>
            </w:r>
          </w:p>
        </w:tc>
        <w:tc>
          <w:tcPr>
            <w:tcW w:type="dxa" w:w="2835"/>
          </w:tcPr>
          <w:p>
            <w:r/>
            <w:r>
              <w:rPr>
                <w:rFonts w:ascii="Calibri" w:hAnsi="Calibri" w:cs="Calibri" w:eastAsia="Calibri"/>
                <w:b w:val="0"/>
                <w:i w:val="0"/>
                <w:sz w:val="18"/>
                <w:szCs w:val="18"/>
              </w:rPr>
              <w:t>Phishing report rate</w:t>
            </w:r>
          </w:p>
        </w:tc>
        <w:tc>
          <w:tcPr>
            <w:tcW w:type="dxa" w:w="1417"/>
          </w:tcPr>
          <w:p>
            <w:r/>
            <w:r>
              <w:rPr>
                <w:rFonts w:ascii="Calibri" w:hAnsi="Calibri" w:cs="Calibri" w:eastAsia="Calibri"/>
                <w:b w:val="0"/>
                <w:i w:val="0"/>
                <w:sz w:val="18"/>
                <w:szCs w:val="18"/>
              </w:rPr>
              <w:t>Above 60% (currently 48%)</w:t>
            </w:r>
          </w:p>
        </w:tc>
        <w:tc>
          <w:tcPr>
            <w:tcW w:type="dxa" w:w="1701"/>
          </w:tcPr>
          <w:p>
            <w:r/>
            <w:r>
              <w:rPr>
                <w:rFonts w:ascii="Calibri" w:hAnsi="Calibri" w:cs="Calibri" w:eastAsia="Calibri"/>
                <w:b w:val="0"/>
                <w:i w:val="0"/>
                <w:sz w:val="18"/>
                <w:szCs w:val="18"/>
              </w:rPr>
              <w:t>Security Manager</w:t>
            </w:r>
          </w:p>
        </w:tc>
        <w:tc>
          <w:tcPr>
            <w:tcW w:type="dxa" w:w="1134"/>
          </w:tcPr>
          <w:p>
            <w:r/>
            <w:r>
              <w:rPr>
                <w:rFonts w:ascii="Calibri" w:hAnsi="Calibri" w:cs="Calibri" w:eastAsia="Calibri"/>
                <w:b w:val="0"/>
                <w:i w:val="0"/>
                <w:sz w:val="18"/>
                <w:szCs w:val="18"/>
              </w:rPr>
              <w:t>June 2027</w:t>
            </w:r>
          </w:p>
        </w:tc>
      </w:tr>
    </w:tbl>
    <w:p>
      <w:pPr>
        <w:spacing w:after="40"/>
      </w:pPr>
    </w:p>
    <w:p>
      <w:pPr>
        <w:pStyle w:val="Heading2"/>
        <w:keepNext/>
        <w:spacing w:before="120" w:after="80"/>
      </w:pPr>
      <w:r>
        <w:rPr>
          <w:rFonts w:ascii="Calibri" w:hAnsi="Calibri" w:cs="Calibri" w:eastAsia="Calibri"/>
          <w:b/>
          <w:i w:val="0"/>
          <w:color w:val="1F3864"/>
          <w:sz w:val="24"/>
          <w:szCs w:val="24"/>
          <w:bCs/>
        </w:rPr>
        <w:t>4.5 Strategic Initiatives and Roadmap</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initiatives that close profile gaps, sequenced over time, with CSF mapping.</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118"/>
        <w:gridCol w:w="1984"/>
        <w:gridCol w:w="1304"/>
        <w:gridCol w:w="1474"/>
        <w:gridCol w:w="1474"/>
      </w:tblGrid>
      <w:tr>
        <w:trPr>
          <w:tblHeader w:val="true"/>
        </w:trPr>
        <w:tc>
          <w:tcPr>
            <w:tcW w:type="dxa" w:w="3118"/>
            <w:shd w:val="clear" w:color="auto" w:fill="1F3864"/>
          </w:tcPr>
          <w:p>
            <w:r/>
            <w:r>
              <w:rPr>
                <w:rFonts w:ascii="Calibri" w:hAnsi="Calibri" w:cs="Calibri" w:eastAsia="Calibri"/>
                <w:b/>
                <w:i w:val="0"/>
                <w:color w:val="FFFFFF"/>
                <w:sz w:val="18"/>
                <w:szCs w:val="18"/>
                <w:bCs/>
              </w:rPr>
              <w:t>Initiative</w:t>
            </w:r>
          </w:p>
        </w:tc>
        <w:tc>
          <w:tcPr>
            <w:tcW w:type="dxa" w:w="1984"/>
            <w:shd w:val="clear" w:color="auto" w:fill="1F3864"/>
          </w:tcPr>
          <w:p>
            <w:r/>
            <w:r>
              <w:rPr>
                <w:rFonts w:ascii="Calibri" w:hAnsi="Calibri" w:cs="Calibri" w:eastAsia="Calibri"/>
                <w:b/>
                <w:i w:val="0"/>
                <w:color w:val="FFFFFF"/>
                <w:sz w:val="18"/>
                <w:szCs w:val="18"/>
                <w:bCs/>
              </w:rPr>
              <w:t>CSF gap closed</w:t>
            </w:r>
          </w:p>
        </w:tc>
        <w:tc>
          <w:tcPr>
            <w:tcW w:type="dxa" w:w="1304"/>
            <w:shd w:val="clear" w:color="auto" w:fill="1F3864"/>
          </w:tcPr>
          <w:p>
            <w:r/>
            <w:r>
              <w:rPr>
                <w:rFonts w:ascii="Calibri" w:hAnsi="Calibri" w:cs="Calibri" w:eastAsia="Calibri"/>
                <w:b/>
                <w:i w:val="0"/>
                <w:color w:val="FFFFFF"/>
                <w:sz w:val="18"/>
                <w:szCs w:val="18"/>
                <w:bCs/>
              </w:rPr>
              <w:t>2025</w:t>
            </w:r>
          </w:p>
        </w:tc>
        <w:tc>
          <w:tcPr>
            <w:tcW w:type="dxa" w:w="1474"/>
            <w:shd w:val="clear" w:color="auto" w:fill="1F3864"/>
          </w:tcPr>
          <w:p>
            <w:r/>
            <w:r>
              <w:rPr>
                <w:rFonts w:ascii="Calibri" w:hAnsi="Calibri" w:cs="Calibri" w:eastAsia="Calibri"/>
                <w:b/>
                <w:i w:val="0"/>
                <w:color w:val="FFFFFF"/>
                <w:sz w:val="18"/>
                <w:szCs w:val="18"/>
                <w:bCs/>
              </w:rPr>
              <w:t>2026</w:t>
            </w:r>
          </w:p>
        </w:tc>
        <w:tc>
          <w:tcPr>
            <w:tcW w:type="dxa" w:w="1474"/>
            <w:shd w:val="clear" w:color="auto" w:fill="1F3864"/>
          </w:tcPr>
          <w:p>
            <w:r/>
            <w:r>
              <w:rPr>
                <w:rFonts w:ascii="Calibri" w:hAnsi="Calibri" w:cs="Calibri" w:eastAsia="Calibri"/>
                <w:b/>
                <w:i w:val="0"/>
                <w:color w:val="FFFFFF"/>
                <w:sz w:val="18"/>
                <w:szCs w:val="18"/>
                <w:bCs/>
              </w:rPr>
              <w:t>2027</w:t>
            </w:r>
          </w:p>
        </w:tc>
      </w:tr>
      <w:tr>
        <w:tc>
          <w:tcPr>
            <w:tcW w:type="dxa" w:w="3118"/>
          </w:tcPr>
          <w:p>
            <w:r/>
            <w:r>
              <w:rPr>
                <w:rFonts w:ascii="Calibri" w:hAnsi="Calibri" w:cs="Calibri" w:eastAsia="Calibri"/>
                <w:b w:val="0"/>
                <w:i w:val="0"/>
                <w:sz w:val="18"/>
                <w:szCs w:val="18"/>
              </w:rPr>
              <w:t>Governance, policy framework, and this document pack</w:t>
            </w:r>
          </w:p>
        </w:tc>
        <w:tc>
          <w:tcPr>
            <w:tcW w:type="dxa" w:w="1984"/>
          </w:tcPr>
          <w:p>
            <w:r/>
            <w:r>
              <w:rPr>
                <w:rFonts w:ascii="Calibri" w:hAnsi="Calibri" w:cs="Calibri" w:eastAsia="Calibri"/>
                <w:b w:val="0"/>
                <w:i w:val="0"/>
                <w:sz w:val="18"/>
                <w:szCs w:val="18"/>
              </w:rPr>
              <w:t>GV.PO, GV.RR, GV.OC</w:t>
            </w:r>
          </w:p>
        </w:tc>
        <w:tc>
          <w:tcPr>
            <w:tcW w:type="dxa" w:w="1304"/>
          </w:tcPr>
          <w:p>
            <w:r/>
            <w:r>
              <w:rPr>
                <w:rFonts w:ascii="Calibri" w:hAnsi="Calibri" w:cs="Calibri" w:eastAsia="Calibri"/>
                <w:b w:val="0"/>
                <w:i w:val="0"/>
                <w:sz w:val="18"/>
                <w:szCs w:val="18"/>
              </w:rPr>
              <w:t>Done</w:t>
            </w:r>
          </w:p>
        </w:tc>
        <w:tc>
          <w:tcPr>
            <w:tcW w:type="dxa" w:w="1474"/>
          </w:tcPr>
          <w:p>
            <w:r/>
            <w:r>
              <w:rPr>
                <w:rFonts w:ascii="Calibri" w:hAnsi="Calibri" w:cs="Calibri" w:eastAsia="Calibri"/>
                <w:b w:val="0"/>
                <w:i w:val="0"/>
                <w:sz w:val="18"/>
                <w:szCs w:val="18"/>
              </w:rPr>
              <w:t>Review</w:t>
            </w:r>
          </w:p>
        </w:tc>
        <w:tc>
          <w:tcPr>
            <w:tcW w:type="dxa" w:w="1474"/>
          </w:tcPr>
          <w:p>
            <w:r/>
          </w:p>
        </w:tc>
      </w:tr>
      <w:tr>
        <w:tc>
          <w:tcPr>
            <w:tcW w:type="dxa" w:w="3118"/>
          </w:tcPr>
          <w:p>
            <w:r/>
            <w:r>
              <w:rPr>
                <w:rFonts w:ascii="Calibri" w:hAnsi="Calibri" w:cs="Calibri" w:eastAsia="Calibri"/>
                <w:b w:val="0"/>
                <w:i w:val="0"/>
                <w:sz w:val="18"/>
                <w:szCs w:val="18"/>
              </w:rPr>
              <w:t>MFA and privileged access for HIS, vendors, and admins</w:t>
            </w:r>
          </w:p>
        </w:tc>
        <w:tc>
          <w:tcPr>
            <w:tcW w:type="dxa" w:w="1984"/>
          </w:tcPr>
          <w:p>
            <w:r/>
            <w:r>
              <w:rPr>
                <w:rFonts w:ascii="Calibri" w:hAnsi="Calibri" w:cs="Calibri" w:eastAsia="Calibri"/>
                <w:b w:val="0"/>
                <w:i w:val="0"/>
                <w:sz w:val="18"/>
                <w:szCs w:val="18"/>
              </w:rPr>
              <w:t>PR.AA</w:t>
            </w:r>
          </w:p>
        </w:tc>
        <w:tc>
          <w:tcPr>
            <w:tcW w:type="dxa" w:w="1304"/>
          </w:tcPr>
          <w:p>
            <w:r/>
            <w:r>
              <w:rPr>
                <w:rFonts w:ascii="Calibri" w:hAnsi="Calibri" w:cs="Calibri" w:eastAsia="Calibri"/>
                <w:b w:val="0"/>
                <w:i w:val="0"/>
                <w:sz w:val="18"/>
                <w:szCs w:val="18"/>
              </w:rPr>
              <w:t>Started</w:t>
            </w:r>
          </w:p>
        </w:tc>
        <w:tc>
          <w:tcPr>
            <w:tcW w:type="dxa" w:w="1474"/>
          </w:tcPr>
          <w:p>
            <w:r/>
            <w:r>
              <w:rPr>
                <w:rFonts w:ascii="Calibri" w:hAnsi="Calibri" w:cs="Calibri" w:eastAsia="Calibri"/>
                <w:b w:val="0"/>
                <w:i w:val="0"/>
                <w:sz w:val="18"/>
                <w:szCs w:val="18"/>
              </w:rPr>
              <w:t>Complete</w:t>
            </w:r>
          </w:p>
        </w:tc>
        <w:tc>
          <w:tcPr>
            <w:tcW w:type="dxa" w:w="1474"/>
          </w:tcPr>
          <w:p>
            <w:r/>
          </w:p>
        </w:tc>
      </w:tr>
      <w:tr>
        <w:tc>
          <w:tcPr>
            <w:tcW w:type="dxa" w:w="3118"/>
          </w:tcPr>
          <w:p>
            <w:r/>
            <w:r>
              <w:rPr>
                <w:rFonts w:ascii="Calibri" w:hAnsi="Calibri" w:cs="Calibri" w:eastAsia="Calibri"/>
                <w:b w:val="0"/>
                <w:i w:val="0"/>
                <w:sz w:val="18"/>
                <w:szCs w:val="18"/>
              </w:rPr>
              <w:t>Immutable backup and DR site at Nonthaburi</w:t>
            </w:r>
          </w:p>
        </w:tc>
        <w:tc>
          <w:tcPr>
            <w:tcW w:type="dxa" w:w="1984"/>
          </w:tcPr>
          <w:p>
            <w:r/>
            <w:r>
              <w:rPr>
                <w:rFonts w:ascii="Calibri" w:hAnsi="Calibri" w:cs="Calibri" w:eastAsia="Calibri"/>
                <w:b w:val="0"/>
                <w:i w:val="0"/>
                <w:sz w:val="18"/>
                <w:szCs w:val="18"/>
              </w:rPr>
              <w:t>PR.DS-11, RC.RP</w:t>
            </w:r>
          </w:p>
        </w:tc>
        <w:tc>
          <w:tcPr>
            <w:tcW w:type="dxa" w:w="1304"/>
          </w:tcPr>
          <w:p>
            <w:r/>
            <w:r>
              <w:rPr>
                <w:rFonts w:ascii="Calibri" w:hAnsi="Calibri" w:cs="Calibri" w:eastAsia="Calibri"/>
                <w:b w:val="0"/>
                <w:i w:val="0"/>
                <w:sz w:val="18"/>
                <w:szCs w:val="18"/>
              </w:rPr>
              <w:t>Done</w:t>
            </w:r>
          </w:p>
        </w:tc>
        <w:tc>
          <w:tcPr>
            <w:tcW w:type="dxa" w:w="1474"/>
          </w:tcPr>
          <w:p>
            <w:r/>
            <w:r>
              <w:rPr>
                <w:rFonts w:ascii="Calibri" w:hAnsi="Calibri" w:cs="Calibri" w:eastAsia="Calibri"/>
                <w:b w:val="0"/>
                <w:i w:val="0"/>
                <w:sz w:val="18"/>
                <w:szCs w:val="18"/>
              </w:rPr>
              <w:t>Test</w:t>
            </w:r>
          </w:p>
        </w:tc>
        <w:tc>
          <w:tcPr>
            <w:tcW w:type="dxa" w:w="1474"/>
          </w:tcPr>
          <w:p>
            <w:r/>
          </w:p>
        </w:tc>
      </w:tr>
      <w:tr>
        <w:tc>
          <w:tcPr>
            <w:tcW w:type="dxa" w:w="3118"/>
          </w:tcPr>
          <w:p>
            <w:r/>
            <w:r>
              <w:rPr>
                <w:rFonts w:ascii="Calibri" w:hAnsi="Calibri" w:cs="Calibri" w:eastAsia="Calibri"/>
                <w:b w:val="0"/>
                <w:i w:val="0"/>
                <w:sz w:val="18"/>
                <w:szCs w:val="18"/>
              </w:rPr>
              <w:t>MSSP 24x7 monitoring and incident response retainer</w:t>
            </w:r>
          </w:p>
        </w:tc>
        <w:tc>
          <w:tcPr>
            <w:tcW w:type="dxa" w:w="1984"/>
          </w:tcPr>
          <w:p>
            <w:r/>
            <w:r>
              <w:rPr>
                <w:rFonts w:ascii="Calibri" w:hAnsi="Calibri" w:cs="Calibri" w:eastAsia="Calibri"/>
                <w:b w:val="0"/>
                <w:i w:val="0"/>
                <w:sz w:val="18"/>
                <w:szCs w:val="18"/>
              </w:rPr>
              <w:t>DE.CM, DE.AE, RS</w:t>
            </w:r>
          </w:p>
        </w:tc>
        <w:tc>
          <w:tcPr>
            <w:tcW w:type="dxa" w:w="1304"/>
          </w:tcPr>
          <w:p>
            <w:r/>
          </w:p>
        </w:tc>
        <w:tc>
          <w:tcPr>
            <w:tcW w:type="dxa" w:w="1474"/>
          </w:tcPr>
          <w:p>
            <w:r/>
            <w:r>
              <w:rPr>
                <w:rFonts w:ascii="Calibri" w:hAnsi="Calibri" w:cs="Calibri" w:eastAsia="Calibri"/>
                <w:b w:val="0"/>
                <w:i w:val="0"/>
                <w:sz w:val="18"/>
                <w:szCs w:val="18"/>
              </w:rPr>
              <w:t>Live March 2026</w:t>
            </w:r>
          </w:p>
        </w:tc>
        <w:tc>
          <w:tcPr>
            <w:tcW w:type="dxa" w:w="1474"/>
          </w:tcPr>
          <w:p>
            <w:r/>
            <w:r>
              <w:rPr>
                <w:rFonts w:ascii="Calibri" w:hAnsi="Calibri" w:cs="Calibri" w:eastAsia="Calibri"/>
                <w:b w:val="0"/>
                <w:i w:val="0"/>
                <w:sz w:val="18"/>
                <w:szCs w:val="18"/>
              </w:rPr>
              <w:t>Tune</w:t>
            </w:r>
          </w:p>
        </w:tc>
      </w:tr>
      <w:tr>
        <w:tc>
          <w:tcPr>
            <w:tcW w:type="dxa" w:w="3118"/>
          </w:tcPr>
          <w:p>
            <w:r/>
            <w:r>
              <w:rPr>
                <w:rFonts w:ascii="Calibri" w:hAnsi="Calibri" w:cs="Calibri" w:eastAsia="Calibri"/>
                <w:b w:val="0"/>
                <w:i w:val="0"/>
                <w:sz w:val="18"/>
                <w:szCs w:val="18"/>
              </w:rPr>
              <w:t>Vendor risk tiering and medical device network isolation</w:t>
            </w:r>
          </w:p>
        </w:tc>
        <w:tc>
          <w:tcPr>
            <w:tcW w:type="dxa" w:w="1984"/>
          </w:tcPr>
          <w:p>
            <w:r/>
            <w:r>
              <w:rPr>
                <w:rFonts w:ascii="Calibri" w:hAnsi="Calibri" w:cs="Calibri" w:eastAsia="Calibri"/>
                <w:b w:val="0"/>
                <w:i w:val="0"/>
                <w:sz w:val="18"/>
                <w:szCs w:val="18"/>
              </w:rPr>
              <w:t>GV.SC, PR.IR</w:t>
            </w:r>
          </w:p>
        </w:tc>
        <w:tc>
          <w:tcPr>
            <w:tcW w:type="dxa" w:w="1304"/>
          </w:tcPr>
          <w:p>
            <w:r/>
          </w:p>
        </w:tc>
        <w:tc>
          <w:tcPr>
            <w:tcW w:type="dxa" w:w="1474"/>
          </w:tcPr>
          <w:p>
            <w:r/>
            <w:r>
              <w:rPr>
                <w:rFonts w:ascii="Calibri" w:hAnsi="Calibri" w:cs="Calibri" w:eastAsia="Calibri"/>
                <w:b w:val="0"/>
                <w:i w:val="0"/>
                <w:sz w:val="18"/>
                <w:szCs w:val="18"/>
              </w:rPr>
              <w:t>In progress</w:t>
            </w:r>
          </w:p>
        </w:tc>
        <w:tc>
          <w:tcPr>
            <w:tcW w:type="dxa" w:w="1474"/>
          </w:tcPr>
          <w:p>
            <w:r/>
            <w:r>
              <w:rPr>
                <w:rFonts w:ascii="Calibri" w:hAnsi="Calibri" w:cs="Calibri" w:eastAsia="Calibri"/>
                <w:b w:val="0"/>
                <w:i w:val="0"/>
                <w:sz w:val="18"/>
                <w:szCs w:val="18"/>
              </w:rPr>
              <w:t>Complete</w:t>
            </w:r>
          </w:p>
        </w:tc>
      </w:tr>
      <w:tr>
        <w:tc>
          <w:tcPr>
            <w:tcW w:type="dxa" w:w="3118"/>
          </w:tcPr>
          <w:p>
            <w:r/>
            <w:r>
              <w:rPr>
                <w:rFonts w:ascii="Calibri" w:hAnsi="Calibri" w:cs="Calibri" w:eastAsia="Calibri"/>
                <w:b w:val="0"/>
                <w:i w:val="0"/>
                <w:sz w:val="18"/>
                <w:szCs w:val="18"/>
              </w:rPr>
              <w:t>ISO/IEC 27001 certification (HIS and data center)</w:t>
            </w:r>
          </w:p>
        </w:tc>
        <w:tc>
          <w:tcPr>
            <w:tcW w:type="dxa" w:w="1984"/>
          </w:tcPr>
          <w:p>
            <w:r/>
            <w:r>
              <w:rPr>
                <w:rFonts w:ascii="Calibri" w:hAnsi="Calibri" w:cs="Calibri" w:eastAsia="Calibri"/>
                <w:b w:val="0"/>
                <w:i w:val="0"/>
                <w:sz w:val="18"/>
                <w:szCs w:val="18"/>
              </w:rPr>
              <w:t>ID.IM, GV.OV</w:t>
            </w:r>
          </w:p>
        </w:tc>
        <w:tc>
          <w:tcPr>
            <w:tcW w:type="dxa" w:w="1304"/>
          </w:tcPr>
          <w:p>
            <w:r/>
          </w:p>
        </w:tc>
        <w:tc>
          <w:tcPr>
            <w:tcW w:type="dxa" w:w="1474"/>
          </w:tcPr>
          <w:p>
            <w:r/>
            <w:r>
              <w:rPr>
                <w:rFonts w:ascii="Calibri" w:hAnsi="Calibri" w:cs="Calibri" w:eastAsia="Calibri"/>
                <w:b w:val="0"/>
                <w:i w:val="0"/>
                <w:sz w:val="18"/>
                <w:szCs w:val="18"/>
              </w:rPr>
              <w:t>Gap closure</w:t>
            </w:r>
          </w:p>
        </w:tc>
        <w:tc>
          <w:tcPr>
            <w:tcW w:type="dxa" w:w="1474"/>
          </w:tcPr>
          <w:p>
            <w:r/>
            <w:r>
              <w:rPr>
                <w:rFonts w:ascii="Calibri" w:hAnsi="Calibri" w:cs="Calibri" w:eastAsia="Calibri"/>
                <w:b w:val="0"/>
                <w:i w:val="0"/>
                <w:sz w:val="18"/>
                <w:szCs w:val="18"/>
              </w:rPr>
              <w:t>Certify</w:t>
            </w:r>
          </w:p>
        </w:tc>
      </w:tr>
    </w:tbl>
    <w:p>
      <w:pPr>
        <w:spacing w:after="40"/>
      </w:pPr>
    </w:p>
    <w:p>
      <w:pPr>
        <w:pStyle w:val="Heading2"/>
        <w:keepNext/>
        <w:spacing w:before="120" w:after="80"/>
      </w:pPr>
      <w:r>
        <w:rPr>
          <w:rFonts w:ascii="Calibri" w:hAnsi="Calibri" w:cs="Calibri" w:eastAsia="Calibri"/>
          <w:b/>
          <w:i w:val="0"/>
          <w:color w:val="1F3864"/>
          <w:sz w:val="24"/>
          <w:szCs w:val="24"/>
          <w:bCs/>
        </w:rPr>
        <w:t>4.6 Investment Summary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Summarize the budget by initiative and year, linking to the budget plan (GV-PLN-001).</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Total three-year investment approved by the Board: THB 38 million (THB 22 million capital, THB 16 million operating). The 2026 budget was reduced by 15% in April 2026; the ISSC deferred the data loss prevention project to 2027.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Build the roadmap from the CSF Current and Target Profiles so every initiative closes a named gap.</w:t>
      </w:r>
    </w:p>
    <w:p>
      <w:pPr>
        <w:pStyle w:val="ListBullet"/>
        <w:spacing w:after="40"/>
      </w:pPr>
      <w:r>
        <w:rPr>
          <w:rFonts w:ascii="Calibri" w:hAnsi="Calibri" w:cs="Calibri" w:eastAsia="Calibri"/>
          <w:b w:val="0"/>
          <w:i w:val="0"/>
          <w:sz w:val="21"/>
          <w:szCs w:val="21"/>
        </w:rPr>
        <w:t>Express objectives in business terms (downtime, data exposure, regulatory penalties), not tool deployments.</w:t>
      </w:r>
    </w:p>
    <w:p>
      <w:pPr>
        <w:pStyle w:val="ListBullet"/>
        <w:spacing w:after="40"/>
      </w:pPr>
      <w:r>
        <w:rPr>
          <w:rFonts w:ascii="Calibri" w:hAnsi="Calibri" w:cs="Calibri" w:eastAsia="Calibri"/>
          <w:b w:val="0"/>
          <w:i w:val="0"/>
          <w:sz w:val="21"/>
          <w:szCs w:val="21"/>
        </w:rPr>
        <w:t>Sequence quick wins (MFA, backup, incident readiness) in parallel with governance work rather than waiting for a full framework.</w:t>
      </w:r>
    </w:p>
    <w:p>
      <w:pPr>
        <w:pStyle w:val="ListBullet"/>
        <w:spacing w:after="40"/>
      </w:pPr>
      <w:r>
        <w:rPr>
          <w:rFonts w:ascii="Calibri" w:hAnsi="Calibri" w:cs="Calibri" w:eastAsia="Calibri"/>
          <w:b w:val="0"/>
          <w:i w:val="0"/>
          <w:sz w:val="21"/>
          <w:szCs w:val="21"/>
        </w:rPr>
        <w:t>Refresh the strategy every year and after major changes in threat or business.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Writing a strategy that is a list of products to buy.</w:t>
      </w:r>
    </w:p>
    <w:p>
      <w:pPr>
        <w:pStyle w:val="ListBullet"/>
        <w:spacing w:after="40"/>
      </w:pPr>
      <w:r>
        <w:rPr>
          <w:rFonts w:ascii="Calibri" w:hAnsi="Calibri" w:cs="Calibri" w:eastAsia="Calibri"/>
          <w:b w:val="0"/>
          <w:i w:val="0"/>
          <w:sz w:val="21"/>
          <w:szCs w:val="21"/>
        </w:rPr>
        <w:t>Setting targets with no baseline, so progress cannot be shown.</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GV.OC-01: Organizational mission is understood and informs cybersecurity risk management</w:t>
            </w:r>
          </w:p>
          <w:p>
            <w:r>
              <w:rPr>
                <w:rFonts w:ascii="Calibri" w:hAnsi="Calibri" w:cs="Calibri" w:eastAsia="Calibri"/>
                <w:b w:val="0"/>
                <w:i w:val="0"/>
                <w:sz w:val="18"/>
                <w:szCs w:val="18"/>
              </w:rPr>
              <w:t>GV.RM-01: Risk management objectives are established and agreed to by stakeholders</w:t>
            </w:r>
          </w:p>
          <w:p>
            <w:r>
              <w:rPr>
                <w:rFonts w:ascii="Calibri" w:hAnsi="Calibri" w:cs="Calibri" w:eastAsia="Calibri"/>
                <w:b w:val="0"/>
                <w:i w:val="0"/>
                <w:sz w:val="18"/>
                <w:szCs w:val="18"/>
              </w:rPr>
              <w:t>GV.OV-01: Risk management strategy outcomes are reviewed to inform and adjust strategy and direction</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6.2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PM-1, PM-9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6.2 (documented information on information security objectives; the roadmap section is common practice)</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GV-CHR-001: Cybersecurity Governance Charter</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GV-PLN-001: Cybersecurity Budget and Resource Plan</w:t>
            </w:r>
          </w:p>
          <w:p>
            <w:r>
              <w:rPr>
                <w:rFonts w:ascii="Calibri" w:hAnsi="Calibri" w:cs="Calibri" w:eastAsia="Calibri"/>
                <w:b w:val="0"/>
                <w:i w:val="0"/>
                <w:sz w:val="18"/>
                <w:szCs w:val="18"/>
              </w:rPr>
              <w:t>GV-REG-008: Cybersecurity Metrics Catalog (KPI and KRI)</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GV-STR-001  |  Cybersecurity Strategy and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