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Internal Audit Program</w:t>
      </w:r>
    </w:p>
    <w:p>
      <w:pPr>
        <w:spacing w:after="80" w:before="0"/>
      </w:pPr>
      <w:r>
        <w:rPr>
          <w:rFonts w:ascii="Calibri" w:hAnsi="Calibri" w:cs="Calibri" w:eastAsia="Calibri"/>
          <w:b w:val="0"/>
          <w:i w:val="0"/>
          <w:color w:val="595959"/>
          <w:sz w:val="18"/>
          <w:szCs w:val="18"/>
        </w:rPr>
        <w:t>GV-PLN-002  |  Plan  |  Oversight (GV.OV)</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GV-PLN-002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Internal Audit Program</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Internal Audit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CMC Audit Committee</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14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14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Plan</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Oversight (GV.OV)</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 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9.2.2 (audit program); CSA s.54 (annual audit)</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Legal and Regulatory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Required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24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Internal Audit Manager</w:t>
            </w:r>
          </w:p>
        </w:tc>
        <w:tc>
          <w:tcPr>
            <w:tcW w:type="dxa" w:w="1531"/>
          </w:tcPr>
          <w:p>
            <w:r/>
            <w:r>
              <w:rPr>
                <w:rFonts w:ascii="Calibri" w:hAnsi="Calibri" w:cs="Calibri" w:eastAsia="Calibri"/>
                <w:b w:val="0"/>
                <w:i w:val="0"/>
                <w:sz w:val="18"/>
                <w:szCs w:val="18"/>
              </w:rPr>
              <w:t>CMC Audit Committee</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14 May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Internal Audit Manager</w:t>
            </w:r>
          </w:p>
        </w:tc>
        <w:tc>
          <w:tcPr>
            <w:tcW w:type="dxa" w:w="1531"/>
          </w:tcPr>
          <w:p>
            <w:r/>
            <w:r>
              <w:rPr>
                <w:rFonts w:ascii="Calibri" w:hAnsi="Calibri" w:cs="Calibri" w:eastAsia="Calibri"/>
                <w:b w:val="0"/>
                <w:i w:val="0"/>
                <w:sz w:val="18"/>
                <w:szCs w:val="18"/>
              </w:rPr>
              <w:t>CMC Audit Committee</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program sets the annual schedule, scope, and resources for internal security audits and the CII annual cybersecurity audit.</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Annual Audit Schedule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each audit with scope, criteria, timing, and auditor (ISO/IEC 27001:2022 Clause 9.2.2).</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rPr>
          <w:tblHeader w:val="true"/>
        </w:trPr>
        <w:tc>
          <w:tcPr>
            <w:tcW w:type="dxa" w:w="1871"/>
            <w:shd w:val="clear" w:color="auto" w:fill="1F3864"/>
          </w:tcPr>
          <w:p>
            <w:r/>
            <w:r>
              <w:rPr>
                <w:rFonts w:ascii="Calibri" w:hAnsi="Calibri" w:cs="Calibri" w:eastAsia="Calibri"/>
                <w:b/>
                <w:i w:val="0"/>
                <w:color w:val="FFFFFF"/>
                <w:sz w:val="18"/>
                <w:szCs w:val="18"/>
                <w:bCs/>
              </w:rPr>
              <w:t>Audit</w:t>
            </w:r>
          </w:p>
        </w:tc>
        <w:tc>
          <w:tcPr>
            <w:tcW w:type="dxa" w:w="1871"/>
            <w:shd w:val="clear" w:color="auto" w:fill="1F3864"/>
          </w:tcPr>
          <w:p>
            <w:r/>
            <w:r>
              <w:rPr>
                <w:rFonts w:ascii="Calibri" w:hAnsi="Calibri" w:cs="Calibri" w:eastAsia="Calibri"/>
                <w:b/>
                <w:i w:val="0"/>
                <w:color w:val="FFFFFF"/>
                <w:sz w:val="18"/>
                <w:szCs w:val="18"/>
                <w:bCs/>
              </w:rPr>
              <w:t>Scope</w:t>
            </w:r>
          </w:p>
        </w:tc>
        <w:tc>
          <w:tcPr>
            <w:tcW w:type="dxa" w:w="1871"/>
            <w:shd w:val="clear" w:color="auto" w:fill="1F3864"/>
          </w:tcPr>
          <w:p>
            <w:r/>
            <w:r>
              <w:rPr>
                <w:rFonts w:ascii="Calibri" w:hAnsi="Calibri" w:cs="Calibri" w:eastAsia="Calibri"/>
                <w:b/>
                <w:i w:val="0"/>
                <w:color w:val="FFFFFF"/>
                <w:sz w:val="18"/>
                <w:szCs w:val="18"/>
                <w:bCs/>
              </w:rPr>
              <w:t>Criteria</w:t>
            </w:r>
          </w:p>
        </w:tc>
        <w:tc>
          <w:tcPr>
            <w:tcW w:type="dxa" w:w="1871"/>
            <w:shd w:val="clear" w:color="auto" w:fill="1F3864"/>
          </w:tcPr>
          <w:p>
            <w:r/>
            <w:r>
              <w:rPr>
                <w:rFonts w:ascii="Calibri" w:hAnsi="Calibri" w:cs="Calibri" w:eastAsia="Calibri"/>
                <w:b/>
                <w:i w:val="0"/>
                <w:color w:val="FFFFFF"/>
                <w:sz w:val="18"/>
                <w:szCs w:val="18"/>
                <w:bCs/>
              </w:rPr>
              <w:t>Quarter</w:t>
            </w:r>
          </w:p>
        </w:tc>
        <w:tc>
          <w:tcPr>
            <w:tcW w:type="dxa" w:w="1871"/>
            <w:shd w:val="clear" w:color="auto" w:fill="1F3864"/>
          </w:tcPr>
          <w:p>
            <w:r/>
            <w:r>
              <w:rPr>
                <w:rFonts w:ascii="Calibri" w:hAnsi="Calibri" w:cs="Calibri" w:eastAsia="Calibri"/>
                <w:b/>
                <w:i w:val="0"/>
                <w:color w:val="FFFFFF"/>
                <w:sz w:val="18"/>
                <w:szCs w:val="18"/>
                <w:bCs/>
              </w:rPr>
              <w:t>Auditor</w:t>
            </w:r>
          </w:p>
        </w:tc>
      </w:tr>
      <w:tr>
        <w:tc>
          <w:tcPr>
            <w:tcW w:type="dxa" w:w="1871"/>
          </w:tcPr>
          <w:p>
            <w:r/>
            <w:r>
              <w:rPr>
                <w:rFonts w:ascii="Calibri" w:hAnsi="Calibri" w:cs="Calibri" w:eastAsia="Calibri"/>
                <w:b w:val="0"/>
                <w:i w:val="0"/>
                <w:sz w:val="18"/>
                <w:szCs w:val="18"/>
              </w:rPr>
              <w:t>Identity and access management</w:t>
            </w:r>
          </w:p>
        </w:tc>
        <w:tc>
          <w:tcPr>
            <w:tcW w:type="dxa" w:w="1871"/>
          </w:tcPr>
          <w:p>
            <w:r/>
            <w:r>
              <w:rPr>
                <w:rFonts w:ascii="Calibri" w:hAnsi="Calibri" w:cs="Calibri" w:eastAsia="Calibri"/>
                <w:b w:val="0"/>
                <w:i w:val="0"/>
                <w:sz w:val="18"/>
                <w:szCs w:val="18"/>
              </w:rPr>
              <w:t>HIS, Active Directory, privileged access</w:t>
            </w:r>
          </w:p>
        </w:tc>
        <w:tc>
          <w:tcPr>
            <w:tcW w:type="dxa" w:w="1871"/>
          </w:tcPr>
          <w:p>
            <w:r/>
            <w:r>
              <w:rPr>
                <w:rFonts w:ascii="Calibri" w:hAnsi="Calibri" w:cs="Calibri" w:eastAsia="Calibri"/>
                <w:b w:val="0"/>
                <w:i w:val="0"/>
                <w:sz w:val="18"/>
                <w:szCs w:val="18"/>
              </w:rPr>
              <w:t>PR-POL-001, PR-STD-002, ISO Annex A 5.15 to 5.18</w:t>
            </w:r>
          </w:p>
        </w:tc>
        <w:tc>
          <w:tcPr>
            <w:tcW w:type="dxa" w:w="1871"/>
          </w:tcPr>
          <w:p>
            <w:r/>
            <w:r>
              <w:rPr>
                <w:rFonts w:ascii="Calibri" w:hAnsi="Calibri" w:cs="Calibri" w:eastAsia="Calibri"/>
                <w:b w:val="0"/>
                <w:i w:val="0"/>
                <w:sz w:val="18"/>
                <w:szCs w:val="18"/>
              </w:rPr>
              <w:t>Q1 2026</w:t>
            </w:r>
          </w:p>
        </w:tc>
        <w:tc>
          <w:tcPr>
            <w:tcW w:type="dxa" w:w="1871"/>
          </w:tcPr>
          <w:p>
            <w:r/>
            <w:r>
              <w:rPr>
                <w:rFonts w:ascii="Calibri" w:hAnsi="Calibri" w:cs="Calibri" w:eastAsia="Calibri"/>
                <w:b w:val="0"/>
                <w:i w:val="0"/>
                <w:sz w:val="18"/>
                <w:szCs w:val="18"/>
              </w:rPr>
              <w:t>Internal Audit with external IT specialist</w:t>
            </w:r>
          </w:p>
        </w:tc>
      </w:tr>
      <w:tr>
        <w:tc>
          <w:tcPr>
            <w:tcW w:type="dxa" w:w="1871"/>
          </w:tcPr>
          <w:p>
            <w:r/>
            <w:r>
              <w:rPr>
                <w:rFonts w:ascii="Calibri" w:hAnsi="Calibri" w:cs="Calibri" w:eastAsia="Calibri"/>
                <w:b w:val="0"/>
                <w:i w:val="0"/>
                <w:sz w:val="18"/>
                <w:szCs w:val="18"/>
              </w:rPr>
              <w:t>Backup and disaster recovery</w:t>
            </w:r>
          </w:p>
        </w:tc>
        <w:tc>
          <w:tcPr>
            <w:tcW w:type="dxa" w:w="1871"/>
          </w:tcPr>
          <w:p>
            <w:r/>
            <w:r>
              <w:rPr>
                <w:rFonts w:ascii="Calibri" w:hAnsi="Calibri" w:cs="Calibri" w:eastAsia="Calibri"/>
                <w:b w:val="0"/>
                <w:i w:val="0"/>
                <w:sz w:val="18"/>
                <w:szCs w:val="18"/>
              </w:rPr>
              <w:t>HIS, PACS, LIS restore capability</w:t>
            </w:r>
          </w:p>
        </w:tc>
        <w:tc>
          <w:tcPr>
            <w:tcW w:type="dxa" w:w="1871"/>
          </w:tcPr>
          <w:p>
            <w:r/>
            <w:r>
              <w:rPr>
                <w:rFonts w:ascii="Calibri" w:hAnsi="Calibri" w:cs="Calibri" w:eastAsia="Calibri"/>
                <w:b w:val="0"/>
                <w:i w:val="0"/>
                <w:sz w:val="18"/>
                <w:szCs w:val="18"/>
              </w:rPr>
              <w:t>PR-STD-006, RC-PLN-002</w:t>
            </w:r>
          </w:p>
        </w:tc>
        <w:tc>
          <w:tcPr>
            <w:tcW w:type="dxa" w:w="1871"/>
          </w:tcPr>
          <w:p>
            <w:r/>
            <w:r>
              <w:rPr>
                <w:rFonts w:ascii="Calibri" w:hAnsi="Calibri" w:cs="Calibri" w:eastAsia="Calibri"/>
                <w:b w:val="0"/>
                <w:i w:val="0"/>
                <w:sz w:val="18"/>
                <w:szCs w:val="18"/>
              </w:rPr>
              <w:t>Q2 2026</w:t>
            </w:r>
          </w:p>
        </w:tc>
        <w:tc>
          <w:tcPr>
            <w:tcW w:type="dxa" w:w="1871"/>
          </w:tcPr>
          <w:p>
            <w:r/>
            <w:r>
              <w:rPr>
                <w:rFonts w:ascii="Calibri" w:hAnsi="Calibri" w:cs="Calibri" w:eastAsia="Calibri"/>
                <w:b w:val="0"/>
                <w:i w:val="0"/>
                <w:sz w:val="18"/>
                <w:szCs w:val="18"/>
              </w:rPr>
              <w:t>Internal Audit</w:t>
            </w:r>
          </w:p>
        </w:tc>
      </w:tr>
      <w:tr>
        <w:tc>
          <w:tcPr>
            <w:tcW w:type="dxa" w:w="1871"/>
          </w:tcPr>
          <w:p>
            <w:r/>
            <w:r>
              <w:rPr>
                <w:rFonts w:ascii="Calibri" w:hAnsi="Calibri" w:cs="Calibri" w:eastAsia="Calibri"/>
                <w:b w:val="0"/>
                <w:i w:val="0"/>
                <w:sz w:val="18"/>
                <w:szCs w:val="18"/>
              </w:rPr>
              <w:t>Third-party and vendor remote access</w:t>
            </w:r>
          </w:p>
        </w:tc>
        <w:tc>
          <w:tcPr>
            <w:tcW w:type="dxa" w:w="1871"/>
          </w:tcPr>
          <w:p>
            <w:r/>
            <w:r>
              <w:rPr>
                <w:rFonts w:ascii="Calibri" w:hAnsi="Calibri" w:cs="Calibri" w:eastAsia="Calibri"/>
                <w:b w:val="0"/>
                <w:i w:val="0"/>
                <w:sz w:val="18"/>
                <w:szCs w:val="18"/>
              </w:rPr>
              <w:t>Medical device and system vendors</w:t>
            </w:r>
          </w:p>
        </w:tc>
        <w:tc>
          <w:tcPr>
            <w:tcW w:type="dxa" w:w="1871"/>
          </w:tcPr>
          <w:p>
            <w:r/>
            <w:r>
              <w:rPr>
                <w:rFonts w:ascii="Calibri" w:hAnsi="Calibri" w:cs="Calibri" w:eastAsia="Calibri"/>
                <w:b w:val="0"/>
                <w:i w:val="0"/>
                <w:sz w:val="18"/>
                <w:szCs w:val="18"/>
              </w:rPr>
              <w:t>GV-POL-006, PR-STD-003</w:t>
            </w:r>
          </w:p>
        </w:tc>
        <w:tc>
          <w:tcPr>
            <w:tcW w:type="dxa" w:w="1871"/>
          </w:tcPr>
          <w:p>
            <w:r/>
            <w:r>
              <w:rPr>
                <w:rFonts w:ascii="Calibri" w:hAnsi="Calibri" w:cs="Calibri" w:eastAsia="Calibri"/>
                <w:b w:val="0"/>
                <w:i w:val="0"/>
                <w:sz w:val="18"/>
                <w:szCs w:val="18"/>
              </w:rPr>
              <w:t>Q3 2026</w:t>
            </w:r>
          </w:p>
        </w:tc>
        <w:tc>
          <w:tcPr>
            <w:tcW w:type="dxa" w:w="1871"/>
          </w:tcPr>
          <w:p>
            <w:r/>
            <w:r>
              <w:rPr>
                <w:rFonts w:ascii="Calibri" w:hAnsi="Calibri" w:cs="Calibri" w:eastAsia="Calibri"/>
                <w:b w:val="0"/>
                <w:i w:val="0"/>
                <w:sz w:val="18"/>
                <w:szCs w:val="18"/>
              </w:rPr>
              <w:t>Internal Audit</w:t>
            </w:r>
          </w:p>
        </w:tc>
      </w:tr>
      <w:tr>
        <w:tc>
          <w:tcPr>
            <w:tcW w:type="dxa" w:w="1871"/>
          </w:tcPr>
          <w:p>
            <w:r/>
            <w:r>
              <w:rPr>
                <w:rFonts w:ascii="Calibri" w:hAnsi="Calibri" w:cs="Calibri" w:eastAsia="Calibri"/>
                <w:b w:val="0"/>
                <w:i w:val="0"/>
                <w:sz w:val="18"/>
                <w:szCs w:val="18"/>
              </w:rPr>
              <w:t>CII annual cybersecurity audit</w:t>
            </w:r>
          </w:p>
        </w:tc>
        <w:tc>
          <w:tcPr>
            <w:tcW w:type="dxa" w:w="1871"/>
          </w:tcPr>
          <w:p>
            <w:r/>
            <w:r>
              <w:rPr>
                <w:rFonts w:ascii="Calibri" w:hAnsi="Calibri" w:cs="Calibri" w:eastAsia="Calibri"/>
                <w:b w:val="0"/>
                <w:i w:val="0"/>
                <w:sz w:val="18"/>
                <w:szCs w:val="18"/>
              </w:rPr>
              <w:t>CMC code of practice and controls</w:t>
            </w:r>
          </w:p>
        </w:tc>
        <w:tc>
          <w:tcPr>
            <w:tcW w:type="dxa" w:w="1871"/>
          </w:tcPr>
          <w:p>
            <w:r/>
            <w:r>
              <w:rPr>
                <w:rFonts w:ascii="Calibri" w:hAnsi="Calibri" w:cs="Calibri" w:eastAsia="Calibri"/>
                <w:b w:val="0"/>
                <w:i w:val="0"/>
                <w:sz w:val="18"/>
                <w:szCs w:val="18"/>
              </w:rPr>
              <w:t>CSA s.54; NCSC framework B.E. 2564</w:t>
            </w:r>
          </w:p>
        </w:tc>
        <w:tc>
          <w:tcPr>
            <w:tcW w:type="dxa" w:w="1871"/>
          </w:tcPr>
          <w:p>
            <w:r/>
            <w:r>
              <w:rPr>
                <w:rFonts w:ascii="Calibri" w:hAnsi="Calibri" w:cs="Calibri" w:eastAsia="Calibri"/>
                <w:b w:val="0"/>
                <w:i w:val="0"/>
                <w:sz w:val="18"/>
                <w:szCs w:val="18"/>
              </w:rPr>
              <w:t>Q4 2026</w:t>
            </w:r>
          </w:p>
        </w:tc>
        <w:tc>
          <w:tcPr>
            <w:tcW w:type="dxa" w:w="1871"/>
          </w:tcPr>
          <w:p>
            <w:r/>
            <w:r>
              <w:rPr>
                <w:rFonts w:ascii="Calibri" w:hAnsi="Calibri" w:cs="Calibri" w:eastAsia="Calibri"/>
                <w:b w:val="0"/>
                <w:i w:val="0"/>
                <w:sz w:val="18"/>
                <w:szCs w:val="18"/>
              </w:rPr>
              <w:t>External auditor (firm under contract)</w:t>
            </w:r>
          </w:p>
        </w:tc>
      </w:tr>
    </w:tbl>
    <w:p>
      <w:pPr>
        <w:spacing w:after="40"/>
      </w:pPr>
    </w:p>
    <w:p>
      <w:pPr>
        <w:pStyle w:val="Heading2"/>
        <w:keepNext/>
        <w:spacing w:before="120" w:after="80"/>
      </w:pPr>
      <w:r>
        <w:rPr>
          <w:rFonts w:ascii="Calibri" w:hAnsi="Calibri" w:cs="Calibri" w:eastAsia="Calibri"/>
          <w:b/>
          <w:i w:val="0"/>
          <w:color w:val="1F3864"/>
          <w:sz w:val="24"/>
          <w:szCs w:val="24"/>
          <w:bCs/>
        </w:rPr>
        <w:t>4.4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Base the program on the risk register so audit effort follows risk.</w:t>
      </w:r>
    </w:p>
    <w:p>
      <w:pPr>
        <w:pStyle w:val="ListBullet"/>
        <w:spacing w:after="40"/>
      </w:pPr>
      <w:r>
        <w:rPr>
          <w:rFonts w:ascii="Calibri" w:hAnsi="Calibri" w:cs="Calibri" w:eastAsia="Calibri"/>
          <w:b w:val="0"/>
          <w:i w:val="0"/>
          <w:sz w:val="21"/>
          <w:szCs w:val="21"/>
        </w:rPr>
        <w:t>Agree the program with the Audit Committee at the start of the year.</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Scheduling all audits in the last quarter, which leaves no time to fix findings before year-end reporting.</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GV.OV-02: Risk management strategy is reviewed and adjusted to ensure coverage of requirements and risks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9.2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CA-2</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9.2.2 (audit program); CSA s.54 (annual audit)</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GV-PRC-007: Internal Audit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GV-PLN-002  |  Internal Audit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