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Management Review Procedure</w:t>
      </w:r>
    </w:p>
    <w:p>
      <w:pPr>
        <w:spacing w:after="80" w:before="0"/>
      </w:pPr>
      <w:r>
        <w:rPr>
          <w:rFonts w:ascii="Calibri" w:hAnsi="Calibri" w:cs="Calibri" w:eastAsia="Calibri"/>
          <w:b w:val="0"/>
          <w:i w:val="0"/>
          <w:color w:val="595959"/>
          <w:sz w:val="18"/>
          <w:szCs w:val="18"/>
        </w:rPr>
        <w:t>GV-PRC-006  |  Procedure  |  Oversight (GV.OV)</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GV-PRC-006</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Management Review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13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13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Oversight (GV.OV)</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9.3</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16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13 April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defines how top management reviews the security program at planned intervals to confirm it remains suitable, adequate, and effective (ISO/IEC 27001:2022 Clause 9.3).</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Review Inputs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mandatory inputs (ISO/IEC 27001:2022 Clause 9.3.2).</w:t>
            </w:r>
          </w:p>
        </w:tc>
      </w:tr>
    </w:tbl>
    <w:p>
      <w:pPr>
        <w:spacing w:after="0"/>
      </w:pPr>
    </w:p>
    <w:p>
      <w:pPr>
        <w:spacing w:after="40" w:before="0"/>
      </w:pPr>
      <w:r>
        <w:rPr>
          <w:rFonts w:ascii="Calibri" w:hAnsi="Calibri" w:cs="Calibri" w:eastAsia="Calibri"/>
          <w:b w:val="0"/>
          <w:i/>
          <w:color w:val="595959"/>
          <w:sz w:val="18"/>
          <w:szCs w:val="18"/>
        </w:rPr>
        <w:t>Sample content</w:t>
      </w:r>
    </w:p>
    <w:p>
      <w:pPr>
        <w:pStyle w:val="ListNumber"/>
        <w:spacing w:after="40"/>
      </w:pPr>
      <w:r>
        <w:rPr>
          <w:rFonts w:ascii="Calibri" w:hAnsi="Calibri" w:cs="Calibri" w:eastAsia="Calibri"/>
          <w:b w:val="0"/>
          <w:i w:val="0"/>
          <w:sz w:val="21"/>
          <w:szCs w:val="21"/>
        </w:rPr>
        <w:t>Status of actions from previous reviews.</w:t>
      </w:r>
    </w:p>
    <w:p>
      <w:pPr>
        <w:pStyle w:val="ListNumber"/>
        <w:spacing w:after="40"/>
      </w:pPr>
      <w:r>
        <w:rPr>
          <w:rFonts w:ascii="Calibri" w:hAnsi="Calibri" w:cs="Calibri" w:eastAsia="Calibri"/>
          <w:b w:val="0"/>
          <w:i w:val="0"/>
          <w:sz w:val="21"/>
          <w:szCs w:val="21"/>
        </w:rPr>
        <w:t>Changes in external and internal issues and interested party needs.</w:t>
      </w:r>
    </w:p>
    <w:p>
      <w:pPr>
        <w:pStyle w:val="ListNumber"/>
        <w:spacing w:after="40"/>
      </w:pPr>
      <w:r>
        <w:rPr>
          <w:rFonts w:ascii="Calibri" w:hAnsi="Calibri" w:cs="Calibri" w:eastAsia="Calibri"/>
          <w:b w:val="0"/>
          <w:i w:val="0"/>
          <w:sz w:val="21"/>
          <w:szCs w:val="21"/>
        </w:rPr>
        <w:t>Feedback on security performance: nonconformities and corrective actions, monitoring and measurement results, audit results, and fulfillment of objectives.</w:t>
      </w:r>
    </w:p>
    <w:p>
      <w:pPr>
        <w:pStyle w:val="ListNumber"/>
        <w:spacing w:after="40"/>
      </w:pPr>
      <w:r>
        <w:rPr>
          <w:rFonts w:ascii="Calibri" w:hAnsi="Calibri" w:cs="Calibri" w:eastAsia="Calibri"/>
          <w:b w:val="0"/>
          <w:i w:val="0"/>
          <w:sz w:val="21"/>
          <w:szCs w:val="21"/>
        </w:rPr>
        <w:t>Feedback from interested parties.</w:t>
      </w:r>
    </w:p>
    <w:p>
      <w:pPr>
        <w:pStyle w:val="ListNumber"/>
        <w:spacing w:after="40"/>
      </w:pPr>
      <w:r>
        <w:rPr>
          <w:rFonts w:ascii="Calibri" w:hAnsi="Calibri" w:cs="Calibri" w:eastAsia="Calibri"/>
          <w:b w:val="0"/>
          <w:i w:val="0"/>
          <w:sz w:val="21"/>
          <w:szCs w:val="21"/>
        </w:rPr>
        <w:t>Results of risk assessment and status of the risk treatment plan.</w:t>
      </w:r>
    </w:p>
    <w:p>
      <w:pPr>
        <w:pStyle w:val="ListNumber"/>
        <w:spacing w:after="40"/>
      </w:pPr>
      <w:r>
        <w:rPr>
          <w:rFonts w:ascii="Calibri" w:hAnsi="Calibri" w:cs="Calibri" w:eastAsia="Calibri"/>
          <w:b w:val="0"/>
          <w:i w:val="0"/>
          <w:sz w:val="21"/>
          <w:szCs w:val="21"/>
        </w:rPr>
        <w:t>Opportunities for continual improvement.</w:t>
      </w:r>
    </w:p>
    <w:p>
      <w:pPr>
        <w:pStyle w:val="Heading2"/>
        <w:keepNext/>
        <w:spacing w:before="120" w:after="80"/>
      </w:pPr>
      <w:r>
        <w:rPr>
          <w:rFonts w:ascii="Calibri" w:hAnsi="Calibri" w:cs="Calibri" w:eastAsia="Calibri"/>
          <w:b/>
          <w:i w:val="0"/>
          <w:color w:val="1F3864"/>
          <w:sz w:val="24"/>
          <w:szCs w:val="24"/>
          <w:bCs/>
        </w:rPr>
        <w:t>4.4 Review Outputs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the decisions the review must produce (Clause 9.3.3).</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Decisions on continual improvement opportunities.</w:t>
      </w:r>
    </w:p>
    <w:p>
      <w:pPr>
        <w:pStyle w:val="ListBullet"/>
        <w:spacing w:after="40"/>
      </w:pPr>
      <w:r>
        <w:rPr>
          <w:rFonts w:ascii="Calibri" w:hAnsi="Calibri" w:cs="Calibri" w:eastAsia="Calibri"/>
          <w:b w:val="0"/>
          <w:i w:val="0"/>
          <w:sz w:val="21"/>
          <w:szCs w:val="21"/>
        </w:rPr>
        <w:t>Any need for changes to the ISMS, including resources and objectives.</w:t>
      </w:r>
    </w:p>
    <w:p>
      <w:pPr>
        <w:pStyle w:val="ListBullet"/>
        <w:spacing w:after="40"/>
      </w:pPr>
      <w:r>
        <w:rPr>
          <w:rFonts w:ascii="Calibri" w:hAnsi="Calibri" w:cs="Calibri" w:eastAsia="Calibri"/>
          <w:b w:val="0"/>
          <w:i w:val="0"/>
          <w:sz w:val="21"/>
          <w:szCs w:val="21"/>
        </w:rPr>
        <w:t>Actions with owners and due dates, recorded in the minutes (GV-REC-001) and the Corrective Action and Improvement Register (ID-REG-007).</w:t>
      </w:r>
    </w:p>
    <w:p>
      <w:pPr>
        <w:pStyle w:val="Heading2"/>
        <w:keepNext/>
        <w:spacing w:before="120" w:after="80"/>
      </w:pPr>
      <w:r>
        <w:rPr>
          <w:rFonts w:ascii="Calibri" w:hAnsi="Calibri" w:cs="Calibri" w:eastAsia="Calibri"/>
          <w:b/>
          <w:i w:val="0"/>
          <w:color w:val="1F3864"/>
          <w:sz w:val="24"/>
          <w:szCs w:val="24"/>
          <w:bCs/>
        </w:rPr>
        <w:t>4.5 Schedule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when the review takes place.</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The Information Security Steering Committee (ISSC) conducts a full management review at least once a year, before the annual budget cycle, and after any major incident or significant change.</w:t>
      </w:r>
    </w:p>
    <w:p>
      <w:pPr>
        <w:pStyle w:val="Heading2"/>
        <w:keepNext/>
        <w:spacing w:before="120" w:after="80"/>
      </w:pPr>
      <w:r>
        <w:rPr>
          <w:rFonts w:ascii="Calibri" w:hAnsi="Calibri" w:cs="Calibri" w:eastAsia="Calibri"/>
          <w:b/>
          <w:i w:val="0"/>
          <w:color w:val="1F3864"/>
          <w:sz w:val="24"/>
          <w:szCs w:val="24"/>
          <w:bCs/>
        </w:rPr>
        <w:t>4.6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GV-REC-001: Management Review Minutes</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Hold the review before budget planning so decisions can be funded.</w:t>
      </w:r>
    </w:p>
    <w:p>
      <w:pPr>
        <w:pStyle w:val="ListBullet"/>
        <w:spacing w:after="40"/>
      </w:pPr>
      <w:r>
        <w:rPr>
          <w:rFonts w:ascii="Calibri" w:hAnsi="Calibri" w:cs="Calibri" w:eastAsia="Calibri"/>
          <w:b w:val="0"/>
          <w:i w:val="0"/>
          <w:sz w:val="21"/>
          <w:szCs w:val="21"/>
        </w:rPr>
        <w:t>Use a standard agenda that mirrors Clause 9.3.2 so auditors can trace every input.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Holding the review as a slide presentation with no recorded decisions.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GV.OV-01: Risk management strategy outcomes are reviewed to inform and adjust strategy and direction</w:t>
            </w:r>
          </w:p>
          <w:p>
            <w:r>
              <w:rPr>
                <w:rFonts w:ascii="Calibri" w:hAnsi="Calibri" w:cs="Calibri" w:eastAsia="Calibri"/>
                <w:b w:val="0"/>
                <w:i w:val="0"/>
                <w:sz w:val="18"/>
                <w:szCs w:val="18"/>
              </w:rPr>
              <w:t>GV.OV-02: Risk management strategy is reviewed and adjusted to ensure coverage of requirements and risks</w:t>
            </w:r>
          </w:p>
          <w:p>
            <w:r>
              <w:rPr>
                <w:rFonts w:ascii="Calibri" w:hAnsi="Calibri" w:cs="Calibri" w:eastAsia="Calibri"/>
                <w:b w:val="0"/>
                <w:i w:val="0"/>
                <w:sz w:val="18"/>
                <w:szCs w:val="18"/>
              </w:rPr>
              <w:t>GV.OV-03: Risk management performance is evaluated and reviewed for adjustments needed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9.3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PM-6, PM-9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9.3</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GV-CHR-002: Information Security Steering Committee Terms of Reference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GV-REC-001: Management Review Minutes</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GV-PRC-006  |  Management Review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