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Internal Audit Procedure</w:t>
      </w:r>
    </w:p>
    <w:p>
      <w:pPr>
        <w:spacing w:after="80" w:before="0"/>
      </w:pPr>
      <w:r>
        <w:rPr>
          <w:rFonts w:ascii="Calibri" w:hAnsi="Calibri" w:cs="Calibri" w:eastAsia="Calibri"/>
          <w:b w:val="0"/>
          <w:i w:val="0"/>
          <w:color w:val="595959"/>
          <w:sz w:val="18"/>
          <w:szCs w:val="18"/>
        </w:rPr>
        <w:t>GV-PRC-007  |  Procedure  |  Oversight (GV.OV)</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GV-PRC-007</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Internal Audit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Internal Audit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CMC Audit Committee</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3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3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Oversight (GV.OV)</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 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9.2; CSA s.54</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17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Internal Audit Manager</w:t>
            </w:r>
          </w:p>
        </w:tc>
        <w:tc>
          <w:tcPr>
            <w:tcW w:type="dxa" w:w="1531"/>
          </w:tcPr>
          <w:p>
            <w:r/>
            <w:r>
              <w:rPr>
                <w:rFonts w:ascii="Calibri" w:hAnsi="Calibri" w:cs="Calibri" w:eastAsia="Calibri"/>
                <w:b w:val="0"/>
                <w:i w:val="0"/>
                <w:sz w:val="18"/>
                <w:szCs w:val="18"/>
              </w:rPr>
              <w:t>CMC Audit Committee</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3 September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Internal Audit Manager</w:t>
            </w:r>
          </w:p>
        </w:tc>
        <w:tc>
          <w:tcPr>
            <w:tcW w:type="dxa" w:w="1531"/>
          </w:tcPr>
          <w:p>
            <w:r/>
            <w:r>
              <w:rPr>
                <w:rFonts w:ascii="Calibri" w:hAnsi="Calibri" w:cs="Calibri" w:eastAsia="Calibri"/>
                <w:b w:val="0"/>
                <w:i w:val="0"/>
                <w:sz w:val="18"/>
                <w:szCs w:val="18"/>
              </w:rPr>
              <w:t>CMC Audit Committee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internal audit plans, performs, reports, and follows up independent audits of the security program (ISO/IEC 27001:2022 Clause 9.2) and the annual cybersecurity audit for CII (CSA s.54).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Auditor Independence and Competence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independence and competence requirements for auditors.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Auditors do not audit their own work.</w:t>
      </w:r>
    </w:p>
    <w:p>
      <w:pPr>
        <w:pStyle w:val="ListBullet"/>
        <w:spacing w:after="40"/>
      </w:pPr>
      <w:r>
        <w:rPr>
          <w:rFonts w:ascii="Calibri" w:hAnsi="Calibri" w:cs="Calibri" w:eastAsia="Calibri"/>
          <w:b w:val="0"/>
          <w:i w:val="0"/>
          <w:sz w:val="21"/>
          <w:szCs w:val="21"/>
        </w:rPr>
        <w:t>Auditors hold relevant qualifications (for example, ISO/IEC 27001 Lead Auditor, CISA) or are supported by qualified external specialists.</w:t>
      </w:r>
    </w:p>
    <w:p>
      <w:pPr>
        <w:pStyle w:val="ListBullet"/>
        <w:spacing w:after="40"/>
      </w:pPr>
      <w:r>
        <w:rPr>
          <w:rFonts w:ascii="Calibri" w:hAnsi="Calibri" w:cs="Calibri" w:eastAsia="Calibri"/>
          <w:b w:val="0"/>
          <w:i w:val="0"/>
          <w:sz w:val="21"/>
          <w:szCs w:val="21"/>
        </w:rPr>
        <w:t>For CII, the annual audit is performed by an internal or external auditor that meets NCSA criteria [VERIFY current auditor qualification requirements].</w:t>
      </w:r>
    </w:p>
    <w:p>
      <w:pPr>
        <w:pStyle w:val="Heading2"/>
        <w:keepNext/>
        <w:spacing w:before="120" w:after="80"/>
      </w:pPr>
      <w:r>
        <w:rPr>
          <w:rFonts w:ascii="Calibri" w:hAnsi="Calibri" w:cs="Calibri" w:eastAsia="Calibri"/>
          <w:b/>
          <w:i w:val="0"/>
          <w:color w:val="1F3864"/>
          <w:sz w:val="24"/>
          <w:szCs w:val="24"/>
          <w:bCs/>
        </w:rPr>
        <w:t>4.4 Audit Process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audit steps from planning to follow-up.</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80"/>
        <w:gridCol w:w="5273"/>
        <w:gridCol w:w="3402"/>
      </w:tblGrid>
      <w:tr>
        <w:trPr>
          <w:tblHeader w:val="true"/>
        </w:trPr>
        <w:tc>
          <w:tcPr>
            <w:tcW w:type="dxa" w:w="680"/>
            <w:shd w:val="clear" w:color="auto" w:fill="1F3864"/>
          </w:tcPr>
          <w:p>
            <w:r/>
            <w:r>
              <w:rPr>
                <w:rFonts w:ascii="Calibri" w:hAnsi="Calibri" w:cs="Calibri" w:eastAsia="Calibri"/>
                <w:b/>
                <w:i w:val="0"/>
                <w:color w:val="FFFFFF"/>
                <w:sz w:val="18"/>
                <w:szCs w:val="18"/>
                <w:bCs/>
              </w:rPr>
              <w:t>Step</w:t>
            </w:r>
          </w:p>
        </w:tc>
        <w:tc>
          <w:tcPr>
            <w:tcW w:type="dxa" w:w="5272"/>
            <w:shd w:val="clear" w:color="auto" w:fill="1F3864"/>
          </w:tcPr>
          <w:p>
            <w:r/>
            <w:r>
              <w:rPr>
                <w:rFonts w:ascii="Calibri" w:hAnsi="Calibri" w:cs="Calibri" w:eastAsia="Calibri"/>
                <w:b/>
                <w:i w:val="0"/>
                <w:color w:val="FFFFFF"/>
                <w:sz w:val="18"/>
                <w:szCs w:val="18"/>
                <w:bCs/>
              </w:rPr>
              <w:t>Activity</w:t>
            </w:r>
          </w:p>
        </w:tc>
        <w:tc>
          <w:tcPr>
            <w:tcW w:type="dxa" w:w="3402"/>
            <w:shd w:val="clear" w:color="auto" w:fill="1F3864"/>
          </w:tcPr>
          <w:p>
            <w:r/>
            <w:r>
              <w:rPr>
                <w:rFonts w:ascii="Calibri" w:hAnsi="Calibri" w:cs="Calibri" w:eastAsia="Calibri"/>
                <w:b/>
                <w:i w:val="0"/>
                <w:color w:val="FFFFFF"/>
                <w:sz w:val="18"/>
                <w:szCs w:val="18"/>
                <w:bCs/>
              </w:rPr>
              <w:t>Output</w:t>
            </w:r>
          </w:p>
        </w:tc>
      </w:tr>
      <w:tr>
        <w:tc>
          <w:tcPr>
            <w:tcW w:type="dxa" w:w="680"/>
          </w:tcPr>
          <w:p>
            <w:r/>
            <w:r>
              <w:rPr>
                <w:rFonts w:ascii="Calibri" w:hAnsi="Calibri" w:cs="Calibri" w:eastAsia="Calibri"/>
                <w:b w:val="0"/>
                <w:i w:val="0"/>
                <w:sz w:val="18"/>
                <w:szCs w:val="18"/>
              </w:rPr>
              <w:t>1</w:t>
            </w:r>
          </w:p>
        </w:tc>
        <w:tc>
          <w:tcPr>
            <w:tcW w:type="dxa" w:w="5272"/>
          </w:tcPr>
          <w:p>
            <w:r/>
            <w:r>
              <w:rPr>
                <w:rFonts w:ascii="Calibri" w:hAnsi="Calibri" w:cs="Calibri" w:eastAsia="Calibri"/>
                <w:b w:val="0"/>
                <w:i w:val="0"/>
                <w:sz w:val="18"/>
                <w:szCs w:val="18"/>
              </w:rPr>
              <w:t>Plan the annual program based on risk and previous results</w:t>
            </w:r>
          </w:p>
        </w:tc>
        <w:tc>
          <w:tcPr>
            <w:tcW w:type="dxa" w:w="3402"/>
          </w:tcPr>
          <w:p>
            <w:r/>
            <w:r>
              <w:rPr>
                <w:rFonts w:ascii="Calibri" w:hAnsi="Calibri" w:cs="Calibri" w:eastAsia="Calibri"/>
                <w:b w:val="0"/>
                <w:i w:val="0"/>
                <w:sz w:val="18"/>
                <w:szCs w:val="18"/>
              </w:rPr>
              <w:t>Internal Audit Program (GV-PLN-002)</w:t>
            </w:r>
          </w:p>
        </w:tc>
      </w:tr>
      <w:tr>
        <w:tc>
          <w:tcPr>
            <w:tcW w:type="dxa" w:w="680"/>
          </w:tcPr>
          <w:p>
            <w:r/>
            <w:r>
              <w:rPr>
                <w:rFonts w:ascii="Calibri" w:hAnsi="Calibri" w:cs="Calibri" w:eastAsia="Calibri"/>
                <w:b w:val="0"/>
                <w:i w:val="0"/>
                <w:sz w:val="18"/>
                <w:szCs w:val="18"/>
              </w:rPr>
              <w:t>2</w:t>
            </w:r>
          </w:p>
        </w:tc>
        <w:tc>
          <w:tcPr>
            <w:tcW w:type="dxa" w:w="5272"/>
          </w:tcPr>
          <w:p>
            <w:r/>
            <w:r>
              <w:rPr>
                <w:rFonts w:ascii="Calibri" w:hAnsi="Calibri" w:cs="Calibri" w:eastAsia="Calibri"/>
                <w:b w:val="0"/>
                <w:i w:val="0"/>
                <w:sz w:val="18"/>
                <w:szCs w:val="18"/>
              </w:rPr>
              <w:t>Define scope, criteria, and audit plan for each audit</w:t>
            </w:r>
          </w:p>
        </w:tc>
        <w:tc>
          <w:tcPr>
            <w:tcW w:type="dxa" w:w="3402"/>
          </w:tcPr>
          <w:p>
            <w:r/>
            <w:r>
              <w:rPr>
                <w:rFonts w:ascii="Calibri" w:hAnsi="Calibri" w:cs="Calibri" w:eastAsia="Calibri"/>
                <w:b w:val="0"/>
                <w:i w:val="0"/>
                <w:sz w:val="18"/>
                <w:szCs w:val="18"/>
              </w:rPr>
              <w:t>Audit plan</w:t>
            </w:r>
          </w:p>
        </w:tc>
      </w:tr>
      <w:tr>
        <w:tc>
          <w:tcPr>
            <w:tcW w:type="dxa" w:w="680"/>
          </w:tcPr>
          <w:p>
            <w:r/>
            <w:r>
              <w:rPr>
                <w:rFonts w:ascii="Calibri" w:hAnsi="Calibri" w:cs="Calibri" w:eastAsia="Calibri"/>
                <w:b w:val="0"/>
                <w:i w:val="0"/>
                <w:sz w:val="18"/>
                <w:szCs w:val="18"/>
              </w:rPr>
              <w:t>3</w:t>
            </w:r>
          </w:p>
        </w:tc>
        <w:tc>
          <w:tcPr>
            <w:tcW w:type="dxa" w:w="5272"/>
          </w:tcPr>
          <w:p>
            <w:r/>
            <w:r>
              <w:rPr>
                <w:rFonts w:ascii="Calibri" w:hAnsi="Calibri" w:cs="Calibri" w:eastAsia="Calibri"/>
                <w:b w:val="0"/>
                <w:i w:val="0"/>
                <w:sz w:val="18"/>
                <w:szCs w:val="18"/>
              </w:rPr>
              <w:t>Collect evidence through interviews, document review, sampling, and technical testing</w:t>
            </w:r>
          </w:p>
        </w:tc>
        <w:tc>
          <w:tcPr>
            <w:tcW w:type="dxa" w:w="3402"/>
          </w:tcPr>
          <w:p>
            <w:r/>
            <w:r>
              <w:rPr>
                <w:rFonts w:ascii="Calibri" w:hAnsi="Calibri" w:cs="Calibri" w:eastAsia="Calibri"/>
                <w:b w:val="0"/>
                <w:i w:val="0"/>
                <w:sz w:val="18"/>
                <w:szCs w:val="18"/>
              </w:rPr>
              <w:t>Working papers</w:t>
            </w:r>
          </w:p>
        </w:tc>
      </w:tr>
      <w:tr>
        <w:tc>
          <w:tcPr>
            <w:tcW w:type="dxa" w:w="680"/>
          </w:tcPr>
          <w:p>
            <w:r/>
            <w:r>
              <w:rPr>
                <w:rFonts w:ascii="Calibri" w:hAnsi="Calibri" w:cs="Calibri" w:eastAsia="Calibri"/>
                <w:b w:val="0"/>
                <w:i w:val="0"/>
                <w:sz w:val="18"/>
                <w:szCs w:val="18"/>
              </w:rPr>
              <w:t>4</w:t>
            </w:r>
          </w:p>
        </w:tc>
        <w:tc>
          <w:tcPr>
            <w:tcW w:type="dxa" w:w="5272"/>
          </w:tcPr>
          <w:p>
            <w:r/>
            <w:r>
              <w:rPr>
                <w:rFonts w:ascii="Calibri" w:hAnsi="Calibri" w:cs="Calibri" w:eastAsia="Calibri"/>
                <w:b w:val="0"/>
                <w:i w:val="0"/>
                <w:sz w:val="18"/>
                <w:szCs w:val="18"/>
              </w:rPr>
              <w:t>Rate findings and agree facts with auditees</w:t>
            </w:r>
          </w:p>
        </w:tc>
        <w:tc>
          <w:tcPr>
            <w:tcW w:type="dxa" w:w="3402"/>
          </w:tcPr>
          <w:p>
            <w:r/>
            <w:r>
              <w:rPr>
                <w:rFonts w:ascii="Calibri" w:hAnsi="Calibri" w:cs="Calibri" w:eastAsia="Calibri"/>
                <w:b w:val="0"/>
                <w:i w:val="0"/>
                <w:sz w:val="18"/>
                <w:szCs w:val="18"/>
              </w:rPr>
              <w:t>Draft report</w:t>
            </w:r>
          </w:p>
        </w:tc>
      </w:tr>
      <w:tr>
        <w:tc>
          <w:tcPr>
            <w:tcW w:type="dxa" w:w="680"/>
          </w:tcPr>
          <w:p>
            <w:r/>
            <w:r>
              <w:rPr>
                <w:rFonts w:ascii="Calibri" w:hAnsi="Calibri" w:cs="Calibri" w:eastAsia="Calibri"/>
                <w:b w:val="0"/>
                <w:i w:val="0"/>
                <w:sz w:val="18"/>
                <w:szCs w:val="18"/>
              </w:rPr>
              <w:t>5</w:t>
            </w:r>
          </w:p>
        </w:tc>
        <w:tc>
          <w:tcPr>
            <w:tcW w:type="dxa" w:w="5272"/>
          </w:tcPr>
          <w:p>
            <w:r/>
            <w:r>
              <w:rPr>
                <w:rFonts w:ascii="Calibri" w:hAnsi="Calibri" w:cs="Calibri" w:eastAsia="Calibri"/>
                <w:b w:val="0"/>
                <w:i w:val="0"/>
                <w:sz w:val="18"/>
                <w:szCs w:val="18"/>
              </w:rPr>
              <w:t>Issue the report to management and the CMC Audit Committee</w:t>
            </w:r>
          </w:p>
        </w:tc>
        <w:tc>
          <w:tcPr>
            <w:tcW w:type="dxa" w:w="3402"/>
          </w:tcPr>
          <w:p>
            <w:r/>
            <w:r>
              <w:rPr>
                <w:rFonts w:ascii="Calibri" w:hAnsi="Calibri" w:cs="Calibri" w:eastAsia="Calibri"/>
                <w:b w:val="0"/>
                <w:i w:val="0"/>
                <w:sz w:val="18"/>
                <w:szCs w:val="18"/>
              </w:rPr>
              <w:t>Internal Audit Report (GV-TPL-006)</w:t>
            </w:r>
          </w:p>
        </w:tc>
      </w:tr>
      <w:tr>
        <w:tc>
          <w:tcPr>
            <w:tcW w:type="dxa" w:w="680"/>
          </w:tcPr>
          <w:p>
            <w:r/>
            <w:r>
              <w:rPr>
                <w:rFonts w:ascii="Calibri" w:hAnsi="Calibri" w:cs="Calibri" w:eastAsia="Calibri"/>
                <w:b w:val="0"/>
                <w:i w:val="0"/>
                <w:sz w:val="18"/>
                <w:szCs w:val="18"/>
              </w:rPr>
              <w:t>6</w:t>
            </w:r>
          </w:p>
        </w:tc>
        <w:tc>
          <w:tcPr>
            <w:tcW w:type="dxa" w:w="5272"/>
          </w:tcPr>
          <w:p>
            <w:r/>
            <w:r>
              <w:rPr>
                <w:rFonts w:ascii="Calibri" w:hAnsi="Calibri" w:cs="Calibri" w:eastAsia="Calibri"/>
                <w:b w:val="0"/>
                <w:i w:val="0"/>
                <w:sz w:val="18"/>
                <w:szCs w:val="18"/>
              </w:rPr>
              <w:t>Track corrective actions to closure and verify effectiveness</w:t>
            </w:r>
          </w:p>
        </w:tc>
        <w:tc>
          <w:tcPr>
            <w:tcW w:type="dxa" w:w="3402"/>
          </w:tcPr>
          <w:p>
            <w:r/>
            <w:r>
              <w:rPr>
                <w:rFonts w:ascii="Calibri" w:hAnsi="Calibri" w:cs="Calibri" w:eastAsia="Calibri"/>
                <w:b w:val="0"/>
                <w:i w:val="0"/>
                <w:sz w:val="18"/>
                <w:szCs w:val="18"/>
              </w:rPr>
              <w:t>Updates in ID-REG-007</w:t>
            </w:r>
          </w:p>
        </w:tc>
      </w:tr>
    </w:tbl>
    <w:p>
      <w:pPr>
        <w:spacing w:after="40"/>
      </w:pP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GV-TPL-006: Internal Audit Report Template</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Cover every ISMS clause and relevant Annex A control at least once in a three-year cycle, with high-risk areas every year.</w:t>
      </w:r>
    </w:p>
    <w:p>
      <w:pPr>
        <w:pStyle w:val="ListBullet"/>
        <w:spacing w:after="40"/>
      </w:pPr>
      <w:r>
        <w:rPr>
          <w:rFonts w:ascii="Calibri" w:hAnsi="Calibri" w:cs="Calibri" w:eastAsia="Calibri"/>
          <w:b w:val="0"/>
          <w:i w:val="0"/>
          <w:sz w:val="21"/>
          <w:szCs w:val="21"/>
        </w:rPr>
        <w:t>Combine the ISO internal audit and the CII annual audit where scopes overlap to reduce disruption.</w:t>
      </w:r>
    </w:p>
    <w:p>
      <w:pPr>
        <w:pStyle w:val="ListBullet"/>
        <w:spacing w:after="40"/>
      </w:pPr>
      <w:r>
        <w:rPr>
          <w:rFonts w:ascii="Calibri" w:hAnsi="Calibri" w:cs="Calibri" w:eastAsia="Calibri"/>
          <w:b w:val="0"/>
          <w:i w:val="0"/>
          <w:sz w:val="21"/>
          <w:szCs w:val="21"/>
        </w:rPr>
        <w:t>Test operating effectiveness with samples, not only design.</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The security team audits itself and calls it internal audit.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GV.OV-02: Risk management strategy is reviewed and adjusted to ensure coverage of requirements and risks</w:t>
            </w:r>
          </w:p>
          <w:p>
            <w:r>
              <w:rPr>
                <w:rFonts w:ascii="Calibri" w:hAnsi="Calibri" w:cs="Calibri" w:eastAsia="Calibri"/>
                <w:b w:val="0"/>
                <w:i w:val="0"/>
                <w:sz w:val="18"/>
                <w:szCs w:val="18"/>
              </w:rPr>
              <w:t>ID.IM-01: Improvements are identified from evaluations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9.2, Annex A.5.35</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CA-2, CA-7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9.2; CSA s.54</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GV-CHR-001: Cybersecurity Governance Charter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GV-PLN-002: Internal Audit Program</w:t>
            </w:r>
          </w:p>
          <w:p>
            <w:r>
              <w:rPr>
                <w:rFonts w:ascii="Calibri" w:hAnsi="Calibri" w:cs="Calibri" w:eastAsia="Calibri"/>
                <w:b w:val="0"/>
                <w:i w:val="0"/>
                <w:sz w:val="18"/>
                <w:szCs w:val="18"/>
              </w:rPr>
              <w:t>GV-TPL-006: Internal Audit Report Template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GV-PRC-007  |  Internal Audit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