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Management Review Minutes</w:t>
      </w:r>
    </w:p>
    <w:p>
      <w:pPr>
        <w:spacing w:after="80" w:before="0"/>
      </w:pPr>
      <w:r>
        <w:rPr>
          <w:rFonts w:ascii="Calibri" w:hAnsi="Calibri" w:cs="Calibri" w:eastAsia="Calibri"/>
          <w:b w:val="0"/>
          <w:i w:val="0"/>
          <w:color w:val="595959"/>
          <w:sz w:val="18"/>
          <w:szCs w:val="18"/>
        </w:rPr>
        <w:t>GV-REC-001  |  Record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Management Review Minutes</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24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Each meeting</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24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Record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9.3.3 (results of management reviews)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23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24 July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These minutes record the inputs, discussion, decisions, and actions of each management review, as evidence required by ISO/IEC 27001:2022 Clause 9.3.3.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is used by the units and roles named in its parent document (GV-PRC-006) and covers the activities that document defines.</w:t>
      </w:r>
    </w:p>
    <w:p>
      <w:pPr>
        <w:pStyle w:val="Heading2"/>
        <w:keepNext/>
        <w:spacing w:before="120" w:after="80"/>
      </w:pPr>
      <w:r>
        <w:rPr>
          <w:rFonts w:ascii="Calibri" w:hAnsi="Calibri" w:cs="Calibri" w:eastAsia="Calibri"/>
          <w:b/>
          <w:i w:val="0"/>
          <w:color w:val="1F3864"/>
          <w:sz w:val="24"/>
          <w:szCs w:val="24"/>
          <w:bCs/>
        </w:rPr>
        <w:t>4.3 Meeting Details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date, attendees, quorum, and agenda.</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Item</w:t>
            </w:r>
          </w:p>
        </w:tc>
        <w:tc>
          <w:tcPr>
            <w:tcW w:type="dxa" w:w="6803"/>
            <w:shd w:val="clear" w:color="auto" w:fill="1F3864"/>
          </w:tcPr>
          <w:p>
            <w:r/>
            <w:r>
              <w:rPr>
                <w:rFonts w:ascii="Calibri" w:hAnsi="Calibri" w:cs="Calibri" w:eastAsia="Calibri"/>
                <w:b/>
                <w:i w:val="0"/>
                <w:color w:val="FFFFFF"/>
                <w:sz w:val="18"/>
                <w:szCs w:val="18"/>
                <w:bCs/>
              </w:rPr>
              <w:t>Detail</w:t>
            </w:r>
          </w:p>
        </w:tc>
      </w:tr>
      <w:tr>
        <w:tc>
          <w:tcPr>
            <w:tcW w:type="dxa" w:w="2551"/>
          </w:tcPr>
          <w:p>
            <w:r/>
            <w:r>
              <w:rPr>
                <w:rFonts w:ascii="Calibri" w:hAnsi="Calibri" w:cs="Calibri" w:eastAsia="Calibri"/>
                <w:b w:val="0"/>
                <w:i w:val="0"/>
                <w:sz w:val="18"/>
                <w:szCs w:val="18"/>
              </w:rPr>
              <w:t>Meeting</w:t>
            </w:r>
          </w:p>
        </w:tc>
        <w:tc>
          <w:tcPr>
            <w:tcW w:type="dxa" w:w="6803"/>
          </w:tcPr>
          <w:p>
            <w:r/>
            <w:r>
              <w:rPr>
                <w:rFonts w:ascii="Calibri" w:hAnsi="Calibri" w:cs="Calibri" w:eastAsia="Calibri"/>
                <w:b w:val="0"/>
                <w:i w:val="0"/>
                <w:sz w:val="18"/>
                <w:szCs w:val="18"/>
              </w:rPr>
              <w:t>ISSC Management Review MR-2026-01</w:t>
            </w:r>
          </w:p>
        </w:tc>
      </w:tr>
      <w:tr>
        <w:tc>
          <w:tcPr>
            <w:tcW w:type="dxa" w:w="2551"/>
          </w:tcPr>
          <w:p>
            <w:r/>
            <w:r>
              <w:rPr>
                <w:rFonts w:ascii="Calibri" w:hAnsi="Calibri" w:cs="Calibri" w:eastAsia="Calibri"/>
                <w:b w:val="0"/>
                <w:i w:val="0"/>
                <w:sz w:val="18"/>
                <w:szCs w:val="18"/>
              </w:rPr>
              <w:t>Date and place</w:t>
            </w:r>
          </w:p>
        </w:tc>
        <w:tc>
          <w:tcPr>
            <w:tcW w:type="dxa" w:w="6803"/>
          </w:tcPr>
          <w:p>
            <w:r/>
            <w:r>
              <w:rPr>
                <w:rFonts w:ascii="Calibri" w:hAnsi="Calibri" w:cs="Calibri" w:eastAsia="Calibri"/>
                <w:b w:val="0"/>
                <w:i w:val="0"/>
                <w:sz w:val="18"/>
                <w:szCs w:val="18"/>
              </w:rPr>
              <w:t>22 January 2026, CMC Riverside Board Room</w:t>
            </w:r>
          </w:p>
        </w:tc>
      </w:tr>
      <w:tr>
        <w:tc>
          <w:tcPr>
            <w:tcW w:type="dxa" w:w="2551"/>
          </w:tcPr>
          <w:p>
            <w:r/>
            <w:r>
              <w:rPr>
                <w:rFonts w:ascii="Calibri" w:hAnsi="Calibri" w:cs="Calibri" w:eastAsia="Calibri"/>
                <w:b w:val="0"/>
                <w:i w:val="0"/>
                <w:sz w:val="18"/>
                <w:szCs w:val="18"/>
              </w:rPr>
              <w:t>Chair</w:t>
            </w:r>
          </w:p>
        </w:tc>
        <w:tc>
          <w:tcPr>
            <w:tcW w:type="dxa" w:w="6803"/>
          </w:tcPr>
          <w:p>
            <w:r/>
            <w:r>
              <w:rPr>
                <w:rFonts w:ascii="Calibri" w:hAnsi="Calibri" w:cs="Calibri" w:eastAsia="Calibri"/>
                <w:b w:val="0"/>
                <w:i w:val="0"/>
                <w:sz w:val="18"/>
                <w:szCs w:val="18"/>
              </w:rPr>
              <w:t>CEO</w:t>
            </w:r>
          </w:p>
        </w:tc>
      </w:tr>
      <w:tr>
        <w:tc>
          <w:tcPr>
            <w:tcW w:type="dxa" w:w="2551"/>
          </w:tcPr>
          <w:p>
            <w:r/>
            <w:r>
              <w:rPr>
                <w:rFonts w:ascii="Calibri" w:hAnsi="Calibri" w:cs="Calibri" w:eastAsia="Calibri"/>
                <w:b w:val="0"/>
                <w:i w:val="0"/>
                <w:sz w:val="18"/>
                <w:szCs w:val="18"/>
              </w:rPr>
              <w:t>Attendees</w:t>
            </w:r>
          </w:p>
        </w:tc>
        <w:tc>
          <w:tcPr>
            <w:tcW w:type="dxa" w:w="6803"/>
          </w:tcPr>
          <w:p>
            <w:r/>
            <w:r>
              <w:rPr>
                <w:rFonts w:ascii="Calibri" w:hAnsi="Calibri" w:cs="Calibri" w:eastAsia="Calibri"/>
                <w:b w:val="0"/>
                <w:i w:val="0"/>
                <w:sz w:val="18"/>
                <w:szCs w:val="18"/>
              </w:rPr>
              <w:t>CIO, CFO, Medical Director, Director of Nursing, Quality and Risk Management Director, DPO, HR Director, Security Manager (secretary); Internal Audit Manager (observer)</w:t>
            </w:r>
          </w:p>
        </w:tc>
      </w:tr>
      <w:tr>
        <w:tc>
          <w:tcPr>
            <w:tcW w:type="dxa" w:w="2551"/>
          </w:tcPr>
          <w:p>
            <w:r/>
            <w:r>
              <w:rPr>
                <w:rFonts w:ascii="Calibri" w:hAnsi="Calibri" w:cs="Calibri" w:eastAsia="Calibri"/>
                <w:b w:val="0"/>
                <w:i w:val="0"/>
                <w:sz w:val="18"/>
                <w:szCs w:val="18"/>
              </w:rPr>
              <w:t>Quorum met</w:t>
            </w:r>
          </w:p>
        </w:tc>
        <w:tc>
          <w:tcPr>
            <w:tcW w:type="dxa" w:w="6803"/>
          </w:tcPr>
          <w:p>
            <w:r/>
            <w:r>
              <w:rPr>
                <w:rFonts w:ascii="Calibri" w:hAnsi="Calibri" w:cs="Calibri" w:eastAsia="Calibri"/>
                <w:b w:val="0"/>
                <w:i w:val="0"/>
                <w:sz w:val="18"/>
                <w:szCs w:val="18"/>
              </w:rPr>
              <w:t>Yes</w:t>
            </w:r>
          </w:p>
        </w:tc>
      </w:tr>
    </w:tbl>
    <w:p>
      <w:pPr>
        <w:spacing w:after="40"/>
      </w:pPr>
    </w:p>
    <w:p>
      <w:pPr>
        <w:pStyle w:val="Heading2"/>
        <w:keepNext/>
        <w:spacing w:before="120" w:after="80"/>
      </w:pPr>
      <w:r>
        <w:rPr>
          <w:rFonts w:ascii="Calibri" w:hAnsi="Calibri" w:cs="Calibri" w:eastAsia="Calibri"/>
          <w:b/>
          <w:i w:val="0"/>
          <w:color w:val="1F3864"/>
          <w:sz w:val="24"/>
          <w:szCs w:val="24"/>
          <w:bCs/>
        </w:rPr>
        <w:t>4.4 Inputs Reviewed and Decisions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each mandatory input, the key points, and the decision.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864"/>
          </w:tcPr>
          <w:p>
            <w:r/>
            <w:r>
              <w:rPr>
                <w:rFonts w:ascii="Calibri" w:hAnsi="Calibri" w:cs="Calibri" w:eastAsia="Calibri"/>
                <w:b/>
                <w:i w:val="0"/>
                <w:color w:val="FFFFFF"/>
                <w:sz w:val="18"/>
                <w:szCs w:val="18"/>
                <w:bCs/>
              </w:rPr>
              <w:t>Input (Clause 9.3.2)</w:t>
            </w:r>
          </w:p>
        </w:tc>
        <w:tc>
          <w:tcPr>
            <w:tcW w:type="dxa" w:w="3118"/>
            <w:shd w:val="clear" w:color="auto" w:fill="1F3864"/>
          </w:tcPr>
          <w:p>
            <w:r/>
            <w:r>
              <w:rPr>
                <w:rFonts w:ascii="Calibri" w:hAnsi="Calibri" w:cs="Calibri" w:eastAsia="Calibri"/>
                <w:b/>
                <w:i w:val="0"/>
                <w:color w:val="FFFFFF"/>
                <w:sz w:val="18"/>
                <w:szCs w:val="18"/>
                <w:bCs/>
              </w:rPr>
              <w:t>Key points</w:t>
            </w:r>
          </w:p>
        </w:tc>
        <w:tc>
          <w:tcPr>
            <w:tcW w:type="dxa" w:w="3118"/>
            <w:shd w:val="clear" w:color="auto" w:fill="1F3864"/>
          </w:tcPr>
          <w:p>
            <w:r/>
            <w:r>
              <w:rPr>
                <w:rFonts w:ascii="Calibri" w:hAnsi="Calibri" w:cs="Calibri" w:eastAsia="Calibri"/>
                <w:b/>
                <w:i w:val="0"/>
                <w:color w:val="FFFFFF"/>
                <w:sz w:val="18"/>
                <w:szCs w:val="18"/>
                <w:bCs/>
              </w:rPr>
              <w:t>Decision</w:t>
            </w:r>
          </w:p>
        </w:tc>
      </w:tr>
      <w:tr>
        <w:tc>
          <w:tcPr>
            <w:tcW w:type="dxa" w:w="3118"/>
          </w:tcPr>
          <w:p>
            <w:r/>
            <w:r>
              <w:rPr>
                <w:rFonts w:ascii="Calibri" w:hAnsi="Calibri" w:cs="Calibri" w:eastAsia="Calibri"/>
                <w:b w:val="0"/>
                <w:i w:val="0"/>
                <w:sz w:val="18"/>
                <w:szCs w:val="18"/>
              </w:rPr>
              <w:t>Previous actions</w:t>
            </w:r>
          </w:p>
        </w:tc>
        <w:tc>
          <w:tcPr>
            <w:tcW w:type="dxa" w:w="3118"/>
          </w:tcPr>
          <w:p>
            <w:r/>
            <w:r>
              <w:rPr>
                <w:rFonts w:ascii="Calibri" w:hAnsi="Calibri" w:cs="Calibri" w:eastAsia="Calibri"/>
                <w:b w:val="0"/>
                <w:i w:val="0"/>
                <w:sz w:val="18"/>
                <w:szCs w:val="18"/>
              </w:rPr>
              <w:t>9 of 11 actions from 2025 closed</w:t>
            </w:r>
          </w:p>
        </w:tc>
        <w:tc>
          <w:tcPr>
            <w:tcW w:type="dxa" w:w="3118"/>
          </w:tcPr>
          <w:p>
            <w:r/>
            <w:r>
              <w:rPr>
                <w:rFonts w:ascii="Calibri" w:hAnsi="Calibri" w:cs="Calibri" w:eastAsia="Calibri"/>
                <w:b w:val="0"/>
                <w:i w:val="0"/>
                <w:sz w:val="18"/>
                <w:szCs w:val="18"/>
              </w:rPr>
              <w:t>Carry forward 2 actions (PAM rollout, vendor tiering)</w:t>
            </w:r>
          </w:p>
        </w:tc>
      </w:tr>
      <w:tr>
        <w:tc>
          <w:tcPr>
            <w:tcW w:type="dxa" w:w="3118"/>
          </w:tcPr>
          <w:p>
            <w:r/>
            <w:r>
              <w:rPr>
                <w:rFonts w:ascii="Calibri" w:hAnsi="Calibri" w:cs="Calibri" w:eastAsia="Calibri"/>
                <w:b w:val="0"/>
                <w:i w:val="0"/>
                <w:sz w:val="18"/>
                <w:szCs w:val="18"/>
              </w:rPr>
              <w:t>Changes in context</w:t>
            </w:r>
          </w:p>
        </w:tc>
        <w:tc>
          <w:tcPr>
            <w:tcW w:type="dxa" w:w="3118"/>
          </w:tcPr>
          <w:p>
            <w:r/>
            <w:r>
              <w:rPr>
                <w:rFonts w:ascii="Calibri" w:hAnsi="Calibri" w:cs="Calibri" w:eastAsia="Calibri"/>
                <w:b w:val="0"/>
                <w:i w:val="0"/>
                <w:sz w:val="18"/>
                <w:szCs w:val="18"/>
              </w:rPr>
              <w:t>CRC Notification 2024 deadlines; HA re-survey 2027</w:t>
            </w:r>
          </w:p>
        </w:tc>
        <w:tc>
          <w:tcPr>
            <w:tcW w:type="dxa" w:w="3118"/>
          </w:tcPr>
          <w:p>
            <w:r/>
            <w:r>
              <w:rPr>
                <w:rFonts w:ascii="Calibri" w:hAnsi="Calibri" w:cs="Calibri" w:eastAsia="Calibri"/>
                <w:b w:val="0"/>
                <w:i w:val="0"/>
                <w:sz w:val="18"/>
                <w:szCs w:val="18"/>
              </w:rPr>
              <w:t>Add CII matrix (GV-REG-006) to the document pack</w:t>
            </w:r>
          </w:p>
        </w:tc>
      </w:tr>
      <w:tr>
        <w:tc>
          <w:tcPr>
            <w:tcW w:type="dxa" w:w="3118"/>
          </w:tcPr>
          <w:p>
            <w:r/>
            <w:r>
              <w:rPr>
                <w:rFonts w:ascii="Calibri" w:hAnsi="Calibri" w:cs="Calibri" w:eastAsia="Calibri"/>
                <w:b w:val="0"/>
                <w:i w:val="0"/>
                <w:sz w:val="18"/>
                <w:szCs w:val="18"/>
              </w:rPr>
              <w:t>Performance and audit results</w:t>
            </w:r>
          </w:p>
        </w:tc>
        <w:tc>
          <w:tcPr>
            <w:tcW w:type="dxa" w:w="3118"/>
          </w:tcPr>
          <w:p>
            <w:r/>
            <w:r>
              <w:rPr>
                <w:rFonts w:ascii="Calibri" w:hAnsi="Calibri" w:cs="Calibri" w:eastAsia="Calibri"/>
                <w:b w:val="0"/>
                <w:i w:val="0"/>
                <w:sz w:val="18"/>
                <w:szCs w:val="18"/>
              </w:rPr>
              <w:t>IA-2025-04: 7 findings (2 High: stale HIS accounts, untested restores)</w:t>
            </w:r>
          </w:p>
        </w:tc>
        <w:tc>
          <w:tcPr>
            <w:tcW w:type="dxa" w:w="3118"/>
          </w:tcPr>
          <w:p>
            <w:r/>
            <w:r>
              <w:rPr>
                <w:rFonts w:ascii="Calibri" w:hAnsi="Calibri" w:cs="Calibri" w:eastAsia="Calibri"/>
                <w:b w:val="0"/>
                <w:i w:val="0"/>
                <w:sz w:val="18"/>
                <w:szCs w:val="18"/>
              </w:rPr>
              <w:t>Approve corrective actions; restore tests monthly for HIS</w:t>
            </w:r>
          </w:p>
        </w:tc>
      </w:tr>
      <w:tr>
        <w:tc>
          <w:tcPr>
            <w:tcW w:type="dxa" w:w="3118"/>
          </w:tcPr>
          <w:p>
            <w:r/>
            <w:r>
              <w:rPr>
                <w:rFonts w:ascii="Calibri" w:hAnsi="Calibri" w:cs="Calibri" w:eastAsia="Calibri"/>
                <w:b w:val="0"/>
                <w:i w:val="0"/>
                <w:sz w:val="18"/>
                <w:szCs w:val="18"/>
              </w:rPr>
              <w:t>Risk assessment and treatment</w:t>
            </w:r>
          </w:p>
        </w:tc>
        <w:tc>
          <w:tcPr>
            <w:tcW w:type="dxa" w:w="3118"/>
          </w:tcPr>
          <w:p>
            <w:r/>
            <w:r>
              <w:rPr>
                <w:rFonts w:ascii="Calibri" w:hAnsi="Calibri" w:cs="Calibri" w:eastAsia="Calibri"/>
                <w:b w:val="0"/>
                <w:i w:val="0"/>
                <w:sz w:val="18"/>
                <w:szCs w:val="18"/>
              </w:rPr>
              <w:t>Top risk R-001 ransomware remains High (score 12) after backup improvements</w:t>
            </w:r>
          </w:p>
        </w:tc>
        <w:tc>
          <w:tcPr>
            <w:tcW w:type="dxa" w:w="3118"/>
          </w:tcPr>
          <w:p>
            <w:r/>
            <w:r>
              <w:rPr>
                <w:rFonts w:ascii="Calibri" w:hAnsi="Calibri" w:cs="Calibri" w:eastAsia="Calibri"/>
                <w:b w:val="0"/>
                <w:i w:val="0"/>
                <w:sz w:val="18"/>
                <w:szCs w:val="18"/>
              </w:rPr>
              <w:t>Fund MSSP from March 2026</w:t>
            </w:r>
          </w:p>
        </w:tc>
      </w:tr>
      <w:tr>
        <w:tc>
          <w:tcPr>
            <w:tcW w:type="dxa" w:w="3118"/>
          </w:tcPr>
          <w:p>
            <w:r/>
            <w:r>
              <w:rPr>
                <w:rFonts w:ascii="Calibri" w:hAnsi="Calibri" w:cs="Calibri" w:eastAsia="Calibri"/>
                <w:b w:val="0"/>
                <w:i w:val="0"/>
                <w:sz w:val="18"/>
                <w:szCs w:val="18"/>
              </w:rPr>
              <w:t>Improvement opportunities</w:t>
            </w:r>
          </w:p>
        </w:tc>
        <w:tc>
          <w:tcPr>
            <w:tcW w:type="dxa" w:w="3118"/>
          </w:tcPr>
          <w:p>
            <w:r/>
            <w:r>
              <w:rPr>
                <w:rFonts w:ascii="Calibri" w:hAnsi="Calibri" w:cs="Calibri" w:eastAsia="Calibri"/>
                <w:b w:val="0"/>
                <w:i w:val="0"/>
                <w:sz w:val="18"/>
                <w:szCs w:val="18"/>
              </w:rPr>
              <w:t>Badge tap login requested by physicians</w:t>
            </w:r>
          </w:p>
        </w:tc>
        <w:tc>
          <w:tcPr>
            <w:tcW w:type="dxa" w:w="3118"/>
          </w:tcPr>
          <w:p>
            <w:r/>
            <w:r>
              <w:rPr>
                <w:rFonts w:ascii="Calibri" w:hAnsi="Calibri" w:cs="Calibri" w:eastAsia="Calibri"/>
                <w:b w:val="0"/>
                <w:i w:val="0"/>
                <w:sz w:val="18"/>
                <w:szCs w:val="18"/>
              </w:rPr>
              <w:t>Pilot on two wards in Q2 2026</w:t>
            </w:r>
          </w:p>
        </w:tc>
      </w:tr>
    </w:tbl>
    <w:p>
      <w:pPr>
        <w:spacing w:after="40"/>
      </w:pPr>
    </w:p>
    <w:p>
      <w:pPr>
        <w:pStyle w:val="Heading2"/>
        <w:keepNext/>
        <w:spacing w:before="120" w:after="80"/>
      </w:pPr>
      <w:r>
        <w:rPr>
          <w:rFonts w:ascii="Calibri" w:hAnsi="Calibri" w:cs="Calibri" w:eastAsia="Calibri"/>
          <w:b/>
          <w:i w:val="0"/>
          <w:color w:val="1F3864"/>
          <w:sz w:val="24"/>
          <w:szCs w:val="24"/>
          <w:bCs/>
        </w:rPr>
        <w:t>4.5 Action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actions with owners and due dates.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Action ID</w:t>
            </w:r>
          </w:p>
        </w:tc>
        <w:tc>
          <w:tcPr>
            <w:tcW w:type="dxa" w:w="1871"/>
            <w:shd w:val="clear" w:color="auto" w:fill="1F3864"/>
          </w:tcPr>
          <w:p>
            <w:r/>
            <w:r>
              <w:rPr>
                <w:rFonts w:ascii="Calibri" w:hAnsi="Calibri" w:cs="Calibri" w:eastAsia="Calibri"/>
                <w:b/>
                <w:i w:val="0"/>
                <w:color w:val="FFFFFF"/>
                <w:sz w:val="18"/>
                <w:szCs w:val="18"/>
                <w:bCs/>
              </w:rPr>
              <w:t>Action</w:t>
            </w:r>
          </w:p>
        </w:tc>
        <w:tc>
          <w:tcPr>
            <w:tcW w:type="dxa" w:w="1871"/>
            <w:shd w:val="clear" w:color="auto" w:fill="1F3864"/>
          </w:tcPr>
          <w:p>
            <w:r/>
            <w:r>
              <w:rPr>
                <w:rFonts w:ascii="Calibri" w:hAnsi="Calibri" w:cs="Calibri" w:eastAsia="Calibri"/>
                <w:b/>
                <w:i w:val="0"/>
                <w:color w:val="FFFFFF"/>
                <w:sz w:val="18"/>
                <w:szCs w:val="18"/>
                <w:bCs/>
              </w:rPr>
              <w:t>Owner</w:t>
            </w:r>
          </w:p>
        </w:tc>
        <w:tc>
          <w:tcPr>
            <w:tcW w:type="dxa" w:w="1871"/>
            <w:shd w:val="clear" w:color="auto" w:fill="1F3864"/>
          </w:tcPr>
          <w:p>
            <w:r/>
            <w:r>
              <w:rPr>
                <w:rFonts w:ascii="Calibri" w:hAnsi="Calibri" w:cs="Calibri" w:eastAsia="Calibri"/>
                <w:b/>
                <w:i w:val="0"/>
                <w:color w:val="FFFFFF"/>
                <w:sz w:val="18"/>
                <w:szCs w:val="18"/>
                <w:bCs/>
              </w:rPr>
              <w:t>Due date</w:t>
            </w:r>
          </w:p>
        </w:tc>
        <w:tc>
          <w:tcPr>
            <w:tcW w:type="dxa" w:w="1871"/>
            <w:shd w:val="clear" w:color="auto" w:fill="1F3864"/>
          </w:tcPr>
          <w:p>
            <w:r/>
            <w:r>
              <w:rPr>
                <w:rFonts w:ascii="Calibri" w:hAnsi="Calibri" w:cs="Calibri" w:eastAsia="Calibri"/>
                <w:b/>
                <w:i w:val="0"/>
                <w:color w:val="FFFFFF"/>
                <w:sz w:val="18"/>
                <w:szCs w:val="18"/>
                <w:bCs/>
              </w:rPr>
              <w:t>Status</w:t>
            </w:r>
          </w:p>
        </w:tc>
      </w:tr>
      <w:tr>
        <w:tc>
          <w:tcPr>
            <w:tcW w:type="dxa" w:w="1871"/>
          </w:tcPr>
          <w:p>
            <w:r/>
            <w:r>
              <w:rPr>
                <w:rFonts w:ascii="Calibri" w:hAnsi="Calibri" w:cs="Calibri" w:eastAsia="Calibri"/>
                <w:b w:val="0"/>
                <w:i w:val="0"/>
                <w:sz w:val="18"/>
                <w:szCs w:val="18"/>
              </w:rPr>
              <w:t>MR26-01</w:t>
            </w:r>
          </w:p>
        </w:tc>
        <w:tc>
          <w:tcPr>
            <w:tcW w:type="dxa" w:w="1871"/>
          </w:tcPr>
          <w:p>
            <w:r/>
            <w:r>
              <w:rPr>
                <w:rFonts w:ascii="Calibri" w:hAnsi="Calibri" w:cs="Calibri" w:eastAsia="Calibri"/>
                <w:b w:val="0"/>
                <w:i w:val="0"/>
                <w:sz w:val="18"/>
                <w:szCs w:val="18"/>
              </w:rPr>
              <w:t>Complete privileged access management for HIS and domain administrators</w:t>
            </w:r>
          </w:p>
        </w:tc>
        <w:tc>
          <w:tcPr>
            <w:tcW w:type="dxa" w:w="1871"/>
          </w:tcPr>
          <w:p>
            <w:r/>
            <w:r>
              <w:rPr>
                <w:rFonts w:ascii="Calibri" w:hAnsi="Calibri" w:cs="Calibri" w:eastAsia="Calibri"/>
                <w:b w:val="0"/>
                <w:i w:val="0"/>
                <w:sz w:val="18"/>
                <w:szCs w:val="18"/>
              </w:rPr>
              <w:t>IT Infrastructure Manager</w:t>
            </w:r>
          </w:p>
        </w:tc>
        <w:tc>
          <w:tcPr>
            <w:tcW w:type="dxa" w:w="1871"/>
          </w:tcPr>
          <w:p>
            <w:r/>
            <w:r>
              <w:rPr>
                <w:rFonts w:ascii="Calibri" w:hAnsi="Calibri" w:cs="Calibri" w:eastAsia="Calibri"/>
                <w:b w:val="0"/>
                <w:i w:val="0"/>
                <w:sz w:val="18"/>
                <w:szCs w:val="18"/>
              </w:rPr>
              <w:t>30 June 2026</w:t>
            </w:r>
          </w:p>
        </w:tc>
        <w:tc>
          <w:tcPr>
            <w:tcW w:type="dxa" w:w="1871"/>
          </w:tcPr>
          <w:p>
            <w:r/>
            <w:r>
              <w:rPr>
                <w:rFonts w:ascii="Calibri" w:hAnsi="Calibri" w:cs="Calibri" w:eastAsia="Calibri"/>
                <w:b w:val="0"/>
                <w:i w:val="0"/>
                <w:sz w:val="18"/>
                <w:szCs w:val="18"/>
              </w:rPr>
              <w:t>Closed</w:t>
            </w:r>
          </w:p>
        </w:tc>
      </w:tr>
      <w:tr>
        <w:tc>
          <w:tcPr>
            <w:tcW w:type="dxa" w:w="1871"/>
          </w:tcPr>
          <w:p>
            <w:r/>
            <w:r>
              <w:rPr>
                <w:rFonts w:ascii="Calibri" w:hAnsi="Calibri" w:cs="Calibri" w:eastAsia="Calibri"/>
                <w:b w:val="0"/>
                <w:i w:val="0"/>
                <w:sz w:val="18"/>
                <w:szCs w:val="18"/>
              </w:rPr>
              <w:t>MR26-02</w:t>
            </w:r>
          </w:p>
        </w:tc>
        <w:tc>
          <w:tcPr>
            <w:tcW w:type="dxa" w:w="1871"/>
          </w:tcPr>
          <w:p>
            <w:r/>
            <w:r>
              <w:rPr>
                <w:rFonts w:ascii="Calibri" w:hAnsi="Calibri" w:cs="Calibri" w:eastAsia="Calibri"/>
                <w:b w:val="0"/>
                <w:i w:val="0"/>
                <w:sz w:val="18"/>
                <w:szCs w:val="18"/>
              </w:rPr>
              <w:t>Onboard MSSP for 24x7 monitoring</w:t>
            </w:r>
          </w:p>
        </w:tc>
        <w:tc>
          <w:tcPr>
            <w:tcW w:type="dxa" w:w="1871"/>
          </w:tcPr>
          <w:p>
            <w:r/>
            <w:r>
              <w:rPr>
                <w:rFonts w:ascii="Calibri" w:hAnsi="Calibri" w:cs="Calibri" w:eastAsia="Calibri"/>
                <w:b w:val="0"/>
                <w:i w:val="0"/>
                <w:sz w:val="18"/>
                <w:szCs w:val="18"/>
              </w:rPr>
              <w:t>Security Manager</w:t>
            </w:r>
          </w:p>
        </w:tc>
        <w:tc>
          <w:tcPr>
            <w:tcW w:type="dxa" w:w="1871"/>
          </w:tcPr>
          <w:p>
            <w:r/>
            <w:r>
              <w:rPr>
                <w:rFonts w:ascii="Calibri" w:hAnsi="Calibri" w:cs="Calibri" w:eastAsia="Calibri"/>
                <w:b w:val="0"/>
                <w:i w:val="0"/>
                <w:sz w:val="18"/>
                <w:szCs w:val="18"/>
              </w:rPr>
              <w:t>31 March 2026</w:t>
            </w:r>
          </w:p>
        </w:tc>
        <w:tc>
          <w:tcPr>
            <w:tcW w:type="dxa" w:w="1871"/>
          </w:tcPr>
          <w:p>
            <w:r/>
            <w:r>
              <w:rPr>
                <w:rFonts w:ascii="Calibri" w:hAnsi="Calibri" w:cs="Calibri" w:eastAsia="Calibri"/>
                <w:b w:val="0"/>
                <w:i w:val="0"/>
                <w:sz w:val="18"/>
                <w:szCs w:val="18"/>
              </w:rPr>
              <w:t>Closed</w:t>
            </w:r>
          </w:p>
        </w:tc>
      </w:tr>
      <w:tr>
        <w:tc>
          <w:tcPr>
            <w:tcW w:type="dxa" w:w="1871"/>
          </w:tcPr>
          <w:p>
            <w:r/>
            <w:r>
              <w:rPr>
                <w:rFonts w:ascii="Calibri" w:hAnsi="Calibri" w:cs="Calibri" w:eastAsia="Calibri"/>
                <w:b w:val="0"/>
                <w:i w:val="0"/>
                <w:sz w:val="18"/>
                <w:szCs w:val="18"/>
              </w:rPr>
              <w:t>MR26-03</w:t>
            </w:r>
          </w:p>
        </w:tc>
        <w:tc>
          <w:tcPr>
            <w:tcW w:type="dxa" w:w="1871"/>
          </w:tcPr>
          <w:p>
            <w:r/>
            <w:r>
              <w:rPr>
                <w:rFonts w:ascii="Calibri" w:hAnsi="Calibri" w:cs="Calibri" w:eastAsia="Calibri"/>
                <w:b w:val="0"/>
                <w:i w:val="0"/>
                <w:sz w:val="18"/>
                <w:szCs w:val="18"/>
              </w:rPr>
              <w:t>Run monthly HIS restore tests</w:t>
            </w:r>
          </w:p>
        </w:tc>
        <w:tc>
          <w:tcPr>
            <w:tcW w:type="dxa" w:w="1871"/>
          </w:tcPr>
          <w:p>
            <w:r/>
            <w:r>
              <w:rPr>
                <w:rFonts w:ascii="Calibri" w:hAnsi="Calibri" w:cs="Calibri" w:eastAsia="Calibri"/>
                <w:b w:val="0"/>
                <w:i w:val="0"/>
                <w:sz w:val="18"/>
                <w:szCs w:val="18"/>
              </w:rPr>
              <w:t>IT Infrastructure Manager</w:t>
            </w:r>
          </w:p>
        </w:tc>
        <w:tc>
          <w:tcPr>
            <w:tcW w:type="dxa" w:w="1871"/>
          </w:tcPr>
          <w:p>
            <w:r/>
            <w:r>
              <w:rPr>
                <w:rFonts w:ascii="Calibri" w:hAnsi="Calibri" w:cs="Calibri" w:eastAsia="Calibri"/>
                <w:b w:val="0"/>
                <w:i w:val="0"/>
                <w:sz w:val="18"/>
                <w:szCs w:val="18"/>
              </w:rPr>
              <w:t>Monthly from February 2026</w:t>
            </w:r>
          </w:p>
        </w:tc>
        <w:tc>
          <w:tcPr>
            <w:tcW w:type="dxa" w:w="1871"/>
          </w:tcPr>
          <w:p>
            <w:r/>
            <w:r>
              <w:rPr>
                <w:rFonts w:ascii="Calibri" w:hAnsi="Calibri" w:cs="Calibri" w:eastAsia="Calibri"/>
                <w:b w:val="0"/>
                <w:i w:val="0"/>
                <w:sz w:val="18"/>
                <w:szCs w:val="18"/>
              </w:rPr>
              <w:t>On track</w:t>
            </w:r>
          </w:p>
        </w:tc>
      </w:tr>
      <w:tr>
        <w:tc>
          <w:tcPr>
            <w:tcW w:type="dxa" w:w="1871"/>
          </w:tcPr>
          <w:p>
            <w:r/>
            <w:r>
              <w:rPr>
                <w:rFonts w:ascii="Calibri" w:hAnsi="Calibri" w:cs="Calibri" w:eastAsia="Calibri"/>
                <w:b w:val="0"/>
                <w:i w:val="0"/>
                <w:sz w:val="18"/>
                <w:szCs w:val="18"/>
              </w:rPr>
              <w:t>MR26-04</w:t>
            </w:r>
          </w:p>
        </w:tc>
        <w:tc>
          <w:tcPr>
            <w:tcW w:type="dxa" w:w="1871"/>
          </w:tcPr>
          <w:p>
            <w:r/>
            <w:r>
              <w:rPr>
                <w:rFonts w:ascii="Calibri" w:hAnsi="Calibri" w:cs="Calibri" w:eastAsia="Calibri"/>
                <w:b w:val="0"/>
                <w:i w:val="0"/>
                <w:sz w:val="18"/>
                <w:szCs w:val="18"/>
              </w:rPr>
              <w:t>Pilot badge tap login on Wards 5A and 6B</w:t>
            </w:r>
          </w:p>
        </w:tc>
        <w:tc>
          <w:tcPr>
            <w:tcW w:type="dxa" w:w="1871"/>
          </w:tcPr>
          <w:p>
            <w:r/>
            <w:r>
              <w:rPr>
                <w:rFonts w:ascii="Calibri" w:hAnsi="Calibri" w:cs="Calibri" w:eastAsia="Calibri"/>
                <w:b w:val="0"/>
                <w:i w:val="0"/>
                <w:sz w:val="18"/>
                <w:szCs w:val="18"/>
              </w:rPr>
              <w:t>CIO</w:t>
            </w:r>
          </w:p>
        </w:tc>
        <w:tc>
          <w:tcPr>
            <w:tcW w:type="dxa" w:w="1871"/>
          </w:tcPr>
          <w:p>
            <w:r/>
            <w:r>
              <w:rPr>
                <w:rFonts w:ascii="Calibri" w:hAnsi="Calibri" w:cs="Calibri" w:eastAsia="Calibri"/>
                <w:b w:val="0"/>
                <w:i w:val="0"/>
                <w:sz w:val="18"/>
                <w:szCs w:val="18"/>
              </w:rPr>
              <w:t>30 June 2026</w:t>
            </w:r>
          </w:p>
        </w:tc>
        <w:tc>
          <w:tcPr>
            <w:tcW w:type="dxa" w:w="1871"/>
          </w:tcPr>
          <w:p>
            <w:r/>
            <w:r>
              <w:rPr>
                <w:rFonts w:ascii="Calibri" w:hAnsi="Calibri" w:cs="Calibri" w:eastAsia="Calibri"/>
                <w:b w:val="0"/>
                <w:i w:val="0"/>
                <w:sz w:val="18"/>
                <w:szCs w:val="18"/>
              </w:rPr>
              <w:t>Closed</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Circulate minutes within five working days and track actions in the corrective action register.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Minutes record attendance but not decisions, so auditors cannot see management direction.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GV.OV-01: Risk management strategy outcomes are reviewed to inform and adjust strategy and direction</w:t>
            </w:r>
          </w:p>
          <w:p>
            <w:r>
              <w:rPr>
                <w:rFonts w:ascii="Calibri" w:hAnsi="Calibri" w:cs="Calibri" w:eastAsia="Calibri"/>
                <w:b w:val="0"/>
                <w:i w:val="0"/>
                <w:sz w:val="18"/>
                <w:szCs w:val="18"/>
              </w:rPr>
              <w:t>GV.OV-02: Risk management strategy is reviewed and adjusted to ensure coverage of requirements and risks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9.3.3 (results of management reviews)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GV-PRC-006: Management Review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GV-REC-001  |  Management Review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