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Metrics Catalog (KPI and KRI)</w:t>
      </w:r>
    </w:p>
    <w:p>
      <w:pPr>
        <w:spacing w:after="80" w:before="0"/>
      </w:pPr>
      <w:r>
        <w:rPr>
          <w:rFonts w:ascii="Calibri" w:hAnsi="Calibri" w:cs="Calibri" w:eastAsia="Calibri"/>
          <w:b w:val="0"/>
          <w:i w:val="0"/>
          <w:color w:val="595959"/>
          <w:sz w:val="18"/>
          <w:szCs w:val="18"/>
        </w:rPr>
        <w:t>GV-REG-008  |  Register  |  Oversight (GV.OV)</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GV-REG-008</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Metrics Catalog (KPI and KRI)</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8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8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Oversight (GV.OV)</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9.1 (documented evidence of monitoring and measurement results; the catalog records definitions and results)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3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8 March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catalog defines the key performance indicators (KPIs) and key risk indicators (KRIs) used to measure the security program, including formula, source, target, and owner (ISO/IEC 27001:2022 Clause 9.1).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(GV-STR-001)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Metric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KPI-01</w:t>
            </w:r>
          </w:p>
        </w:tc>
      </w:tr>
      <w:tr>
        <w:tc>
          <w:tcPr>
            <w:tcW w:type="dxa" w:w="2268"/>
          </w:tcPr>
          <w:p>
            <w:r/>
            <w:r>
              <w:rPr>
                <w:rFonts w:ascii="Calibri" w:hAnsi="Calibri" w:cs="Calibri" w:eastAsia="Calibri"/>
                <w:b w:val="0"/>
                <w:i w:val="0"/>
                <w:sz w:val="18"/>
                <w:szCs w:val="18"/>
              </w:rPr>
              <w:t>Type</w:t>
            </w:r>
          </w:p>
        </w:tc>
        <w:tc>
          <w:tcPr>
            <w:tcW w:type="dxa" w:w="4535"/>
          </w:tcPr>
          <w:p>
            <w:r/>
            <w:r>
              <w:rPr>
                <w:rFonts w:ascii="Calibri" w:hAnsi="Calibri" w:cs="Calibri" w:eastAsia="Calibri"/>
                <w:b w:val="0"/>
                <w:i w:val="0"/>
                <w:sz w:val="18"/>
                <w:szCs w:val="18"/>
              </w:rPr>
              <w:t>KPI or KRI.</w:t>
            </w:r>
          </w:p>
        </w:tc>
        <w:tc>
          <w:tcPr>
            <w:tcW w:type="dxa" w:w="2551"/>
          </w:tcPr>
          <w:p>
            <w:r/>
            <w:r>
              <w:rPr>
                <w:rFonts w:ascii="Calibri" w:hAnsi="Calibri" w:cs="Calibri" w:eastAsia="Calibri"/>
                <w:b w:val="0"/>
                <w:i w:val="0"/>
                <w:sz w:val="18"/>
                <w:szCs w:val="18"/>
              </w:rPr>
              <w:t>KPI</w:t>
            </w:r>
          </w:p>
        </w:tc>
      </w:tr>
      <w:tr>
        <w:tc>
          <w:tcPr>
            <w:tcW w:type="dxa" w:w="2268"/>
          </w:tcPr>
          <w:p>
            <w:r/>
            <w:r>
              <w:rPr>
                <w:rFonts w:ascii="Calibri" w:hAnsi="Calibri" w:cs="Calibri" w:eastAsia="Calibri"/>
                <w:b w:val="0"/>
                <w:i w:val="0"/>
                <w:sz w:val="18"/>
                <w:szCs w:val="18"/>
              </w:rPr>
              <w:t>Metric</w:t>
            </w:r>
          </w:p>
        </w:tc>
        <w:tc>
          <w:tcPr>
            <w:tcW w:type="dxa" w:w="4535"/>
          </w:tcPr>
          <w:p>
            <w:r/>
            <w:r>
              <w:rPr>
                <w:rFonts w:ascii="Calibri" w:hAnsi="Calibri" w:cs="Calibri" w:eastAsia="Calibri"/>
                <w:b w:val="0"/>
                <w:i w:val="0"/>
                <w:sz w:val="18"/>
                <w:szCs w:val="18"/>
              </w:rPr>
              <w:t>Name and formula.</w:t>
            </w:r>
          </w:p>
        </w:tc>
        <w:tc>
          <w:tcPr>
            <w:tcW w:type="dxa" w:w="2551"/>
          </w:tcPr>
          <w:p>
            <w:r/>
            <w:r>
              <w:rPr>
                <w:rFonts w:ascii="Calibri" w:hAnsi="Calibri" w:cs="Calibri" w:eastAsia="Calibri"/>
                <w:b w:val="0"/>
                <w:i w:val="0"/>
                <w:sz w:val="18"/>
                <w:szCs w:val="18"/>
              </w:rPr>
              <w:t>Patch compliance = patched / in scope</w:t>
            </w:r>
          </w:p>
        </w:tc>
      </w:tr>
      <w:tr>
        <w:tc>
          <w:tcPr>
            <w:tcW w:type="dxa" w:w="2268"/>
          </w:tcPr>
          <w:p>
            <w:r/>
            <w:r>
              <w:rPr>
                <w:rFonts w:ascii="Calibri" w:hAnsi="Calibri" w:cs="Calibri" w:eastAsia="Calibri"/>
                <w:b w:val="0"/>
                <w:i w:val="0"/>
                <w:sz w:val="18"/>
                <w:szCs w:val="18"/>
              </w:rPr>
              <w:t>CSF link</w:t>
            </w:r>
          </w:p>
        </w:tc>
        <w:tc>
          <w:tcPr>
            <w:tcW w:type="dxa" w:w="4535"/>
          </w:tcPr>
          <w:p>
            <w:r/>
            <w:r>
              <w:rPr>
                <w:rFonts w:ascii="Calibri" w:hAnsi="Calibri" w:cs="Calibri" w:eastAsia="Calibri"/>
                <w:b w:val="0"/>
                <w:i w:val="0"/>
                <w:sz w:val="18"/>
                <w:szCs w:val="18"/>
              </w:rPr>
              <w:t>Related category.</w:t>
            </w:r>
          </w:p>
        </w:tc>
        <w:tc>
          <w:tcPr>
            <w:tcW w:type="dxa" w:w="2551"/>
          </w:tcPr>
          <w:p>
            <w:r/>
            <w:r>
              <w:rPr>
                <w:rFonts w:ascii="Calibri" w:hAnsi="Calibri" w:cs="Calibri" w:eastAsia="Calibri"/>
                <w:b w:val="0"/>
                <w:i w:val="0"/>
                <w:sz w:val="18"/>
                <w:szCs w:val="18"/>
              </w:rPr>
              <w:t>PR.PS</w:t>
            </w:r>
          </w:p>
        </w:tc>
      </w:tr>
      <w:tr>
        <w:tc>
          <w:tcPr>
            <w:tcW w:type="dxa" w:w="2268"/>
          </w:tcPr>
          <w:p>
            <w:r/>
            <w:r>
              <w:rPr>
                <w:rFonts w:ascii="Calibri" w:hAnsi="Calibri" w:cs="Calibri" w:eastAsia="Calibri"/>
                <w:b w:val="0"/>
                <w:i w:val="0"/>
                <w:sz w:val="18"/>
                <w:szCs w:val="18"/>
              </w:rPr>
              <w:t>Data source</w:t>
            </w:r>
          </w:p>
        </w:tc>
        <w:tc>
          <w:tcPr>
            <w:tcW w:type="dxa" w:w="4535"/>
          </w:tcPr>
          <w:p>
            <w:r/>
            <w:r>
              <w:rPr>
                <w:rFonts w:ascii="Calibri" w:hAnsi="Calibri" w:cs="Calibri" w:eastAsia="Calibri"/>
                <w:b w:val="0"/>
                <w:i w:val="0"/>
                <w:sz w:val="18"/>
                <w:szCs w:val="18"/>
              </w:rPr>
              <w:t>System or record.</w:t>
            </w:r>
          </w:p>
        </w:tc>
        <w:tc>
          <w:tcPr>
            <w:tcW w:type="dxa" w:w="2551"/>
          </w:tcPr>
          <w:p>
            <w:r/>
          </w:p>
        </w:tc>
      </w:tr>
      <w:tr>
        <w:tc>
          <w:tcPr>
            <w:tcW w:type="dxa" w:w="2268"/>
          </w:tcPr>
          <w:p>
            <w:r/>
            <w:r>
              <w:rPr>
                <w:rFonts w:ascii="Calibri" w:hAnsi="Calibri" w:cs="Calibri" w:eastAsia="Calibri"/>
                <w:b w:val="0"/>
                <w:i w:val="0"/>
                <w:sz w:val="18"/>
                <w:szCs w:val="18"/>
              </w:rPr>
              <w:t>Target or threshold</w:t>
            </w:r>
          </w:p>
        </w:tc>
        <w:tc>
          <w:tcPr>
            <w:tcW w:type="dxa" w:w="4535"/>
          </w:tcPr>
          <w:p>
            <w:r/>
            <w:r>
              <w:rPr>
                <w:rFonts w:ascii="Calibri" w:hAnsi="Calibri" w:cs="Calibri" w:eastAsia="Calibri"/>
                <w:b w:val="0"/>
                <w:i w:val="0"/>
                <w:sz w:val="18"/>
                <w:szCs w:val="18"/>
              </w:rPr>
              <w:t>Target value or tolerance.</w:t>
            </w:r>
          </w:p>
        </w:tc>
        <w:tc>
          <w:tcPr>
            <w:tcW w:type="dxa" w:w="2551"/>
          </w:tcPr>
          <w:p>
            <w:r/>
            <w:r>
              <w:rPr>
                <w:rFonts w:ascii="Calibri" w:hAnsi="Calibri" w:cs="Calibri" w:eastAsia="Calibri"/>
                <w:b w:val="0"/>
                <w:i w:val="0"/>
                <w:sz w:val="18"/>
                <w:szCs w:val="18"/>
              </w:rPr>
              <w:t>95%</w:t>
            </w:r>
          </w:p>
        </w:tc>
      </w:tr>
      <w:tr>
        <w:tc>
          <w:tcPr>
            <w:tcW w:type="dxa" w:w="2268"/>
          </w:tcPr>
          <w:p>
            <w:r/>
            <w:r>
              <w:rPr>
                <w:rFonts w:ascii="Calibri" w:hAnsi="Calibri" w:cs="Calibri" w:eastAsia="Calibri"/>
                <w:b w:val="0"/>
                <w:i w:val="0"/>
                <w:sz w:val="18"/>
                <w:szCs w:val="18"/>
              </w:rPr>
              <w:t>Frequency</w:t>
            </w:r>
          </w:p>
        </w:tc>
        <w:tc>
          <w:tcPr>
            <w:tcW w:type="dxa" w:w="4535"/>
          </w:tcPr>
          <w:p>
            <w:r/>
            <w:r>
              <w:rPr>
                <w:rFonts w:ascii="Calibri" w:hAnsi="Calibri" w:cs="Calibri" w:eastAsia="Calibri"/>
                <w:b w:val="0"/>
                <w:i w:val="0"/>
                <w:sz w:val="18"/>
                <w:szCs w:val="18"/>
              </w:rPr>
              <w:t>Collection and reporting.</w:t>
            </w:r>
          </w:p>
        </w:tc>
        <w:tc>
          <w:tcPr>
            <w:tcW w:type="dxa" w:w="2551"/>
          </w:tcPr>
          <w:p>
            <w:r/>
            <w:r>
              <w:rPr>
                <w:rFonts w:ascii="Calibri" w:hAnsi="Calibri" w:cs="Calibri" w:eastAsia="Calibri"/>
                <w:b w:val="0"/>
                <w:i w:val="0"/>
                <w:sz w:val="18"/>
                <w:szCs w:val="18"/>
              </w:rPr>
              <w:t>Monthly</w:t>
            </w:r>
          </w:p>
        </w:tc>
      </w:tr>
      <w:tr>
        <w:tc>
          <w:tcPr>
            <w:tcW w:type="dxa" w:w="2268"/>
          </w:tcPr>
          <w:p>
            <w:r/>
            <w:r>
              <w:rPr>
                <w:rFonts w:ascii="Calibri" w:hAnsi="Calibri" w:cs="Calibri" w:eastAsia="Calibri"/>
                <w:b w:val="0"/>
                <w:i w:val="0"/>
                <w:sz w:val="18"/>
                <w:szCs w:val="18"/>
              </w:rPr>
              <w:t>Owner</w:t>
            </w:r>
          </w:p>
        </w:tc>
        <w:tc>
          <w:tcPr>
            <w:tcW w:type="dxa" w:w="4535"/>
          </w:tcPr>
          <w:p>
            <w:r/>
            <w:r>
              <w:rPr>
                <w:rFonts w:ascii="Calibri" w:hAnsi="Calibri" w:cs="Calibri" w:eastAsia="Calibri"/>
                <w:b w:val="0"/>
                <w:i w:val="0"/>
                <w:sz w:val="18"/>
                <w:szCs w:val="18"/>
              </w:rPr>
              <w:t>Role.</w:t>
            </w:r>
          </w:p>
        </w:tc>
        <w:tc>
          <w:tcPr>
            <w:tcW w:type="dxa" w:w="2551"/>
          </w:tcPr>
          <w:p>
            <w:r/>
          </w:p>
        </w:tc>
      </w:tr>
      <w:tr>
        <w:tc>
          <w:tcPr>
            <w:tcW w:type="dxa" w:w="2268"/>
          </w:tcPr>
          <w:p>
            <w:r/>
            <w:r>
              <w:rPr>
                <w:rFonts w:ascii="Calibri" w:hAnsi="Calibri" w:cs="Calibri" w:eastAsia="Calibri"/>
                <w:b w:val="0"/>
                <w:i w:val="0"/>
                <w:sz w:val="18"/>
                <w:szCs w:val="18"/>
              </w:rPr>
              <w:t>Current value</w:t>
            </w:r>
          </w:p>
        </w:tc>
        <w:tc>
          <w:tcPr>
            <w:tcW w:type="dxa" w:w="4535"/>
          </w:tcPr>
          <w:p>
            <w:r/>
            <w:r>
              <w:rPr>
                <w:rFonts w:ascii="Calibri" w:hAnsi="Calibri" w:cs="Calibri" w:eastAsia="Calibri"/>
                <w:b w:val="0"/>
                <w:i w:val="0"/>
                <w:sz w:val="18"/>
                <w:szCs w:val="18"/>
              </w:rPr>
              <w:t>Latest measurement.</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682"/>
        <w:gridCol w:w="1682"/>
        <w:gridCol w:w="1682"/>
        <w:gridCol w:w="1682"/>
        <w:gridCol w:w="1682"/>
        <w:gridCol w:w="1682"/>
        <w:gridCol w:w="1682"/>
        <w:gridCol w:w="1682"/>
        <w:gridCol w:w="1682"/>
      </w:tblGrid>
      <w:tr>
        <w:trPr>
          <w:tblHeader w:val="true"/>
        </w:trPr>
        <w:tc>
          <w:tcPr>
            <w:tcW w:type="dxa" w:w="1682"/>
            <w:shd w:val="clear" w:color="auto" w:fill="1F3864"/>
          </w:tcPr>
          <w:p>
            <w:r/>
            <w:r>
              <w:rPr>
                <w:rFonts w:ascii="Calibri" w:hAnsi="Calibri" w:cs="Calibri" w:eastAsia="Calibri"/>
                <w:b/>
                <w:i w:val="0"/>
                <w:color w:val="FFFFFF"/>
                <w:sz w:val="16"/>
                <w:szCs w:val="16"/>
                <w:bCs/>
              </w:rPr>
              <w:t>Metric ID</w:t>
            </w:r>
          </w:p>
        </w:tc>
        <w:tc>
          <w:tcPr>
            <w:tcW w:type="dxa" w:w="1682"/>
            <w:shd w:val="clear" w:color="auto" w:fill="1F3864"/>
          </w:tcPr>
          <w:p>
            <w:r/>
            <w:r>
              <w:rPr>
                <w:rFonts w:ascii="Calibri" w:hAnsi="Calibri" w:cs="Calibri" w:eastAsia="Calibri"/>
                <w:b/>
                <w:i w:val="0"/>
                <w:color w:val="FFFFFF"/>
                <w:sz w:val="16"/>
                <w:szCs w:val="16"/>
                <w:bCs/>
              </w:rPr>
              <w:t>Type</w:t>
            </w:r>
          </w:p>
        </w:tc>
        <w:tc>
          <w:tcPr>
            <w:tcW w:type="dxa" w:w="1682"/>
            <w:shd w:val="clear" w:color="auto" w:fill="1F3864"/>
          </w:tcPr>
          <w:p>
            <w:r/>
            <w:r>
              <w:rPr>
                <w:rFonts w:ascii="Calibri" w:hAnsi="Calibri" w:cs="Calibri" w:eastAsia="Calibri"/>
                <w:b/>
                <w:i w:val="0"/>
                <w:color w:val="FFFFFF"/>
                <w:sz w:val="16"/>
                <w:szCs w:val="16"/>
                <w:bCs/>
              </w:rPr>
              <w:t>Metric</w:t>
            </w:r>
          </w:p>
        </w:tc>
        <w:tc>
          <w:tcPr>
            <w:tcW w:type="dxa" w:w="1682"/>
            <w:shd w:val="clear" w:color="auto" w:fill="1F3864"/>
          </w:tcPr>
          <w:p>
            <w:r/>
            <w:r>
              <w:rPr>
                <w:rFonts w:ascii="Calibri" w:hAnsi="Calibri" w:cs="Calibri" w:eastAsia="Calibri"/>
                <w:b/>
                <w:i w:val="0"/>
                <w:color w:val="FFFFFF"/>
                <w:sz w:val="16"/>
                <w:szCs w:val="16"/>
                <w:bCs/>
              </w:rPr>
              <w:t>CSF link</w:t>
            </w:r>
          </w:p>
        </w:tc>
        <w:tc>
          <w:tcPr>
            <w:tcW w:type="dxa" w:w="1682"/>
            <w:shd w:val="clear" w:color="auto" w:fill="1F3864"/>
          </w:tcPr>
          <w:p>
            <w:r/>
            <w:r>
              <w:rPr>
                <w:rFonts w:ascii="Calibri" w:hAnsi="Calibri" w:cs="Calibri" w:eastAsia="Calibri"/>
                <w:b/>
                <w:i w:val="0"/>
                <w:color w:val="FFFFFF"/>
                <w:sz w:val="16"/>
                <w:szCs w:val="16"/>
                <w:bCs/>
              </w:rPr>
              <w:t>Data source</w:t>
            </w:r>
          </w:p>
        </w:tc>
        <w:tc>
          <w:tcPr>
            <w:tcW w:type="dxa" w:w="1682"/>
            <w:shd w:val="clear" w:color="auto" w:fill="1F3864"/>
          </w:tcPr>
          <w:p>
            <w:r/>
            <w:r>
              <w:rPr>
                <w:rFonts w:ascii="Calibri" w:hAnsi="Calibri" w:cs="Calibri" w:eastAsia="Calibri"/>
                <w:b/>
                <w:i w:val="0"/>
                <w:color w:val="FFFFFF"/>
                <w:sz w:val="16"/>
                <w:szCs w:val="16"/>
                <w:bCs/>
              </w:rPr>
              <w:t>Target or threshold</w:t>
            </w:r>
          </w:p>
        </w:tc>
        <w:tc>
          <w:tcPr>
            <w:tcW w:type="dxa" w:w="1682"/>
            <w:shd w:val="clear" w:color="auto" w:fill="1F3864"/>
          </w:tcPr>
          <w:p>
            <w:r/>
            <w:r>
              <w:rPr>
                <w:rFonts w:ascii="Calibri" w:hAnsi="Calibri" w:cs="Calibri" w:eastAsia="Calibri"/>
                <w:b/>
                <w:i w:val="0"/>
                <w:color w:val="FFFFFF"/>
                <w:sz w:val="16"/>
                <w:szCs w:val="16"/>
                <w:bCs/>
              </w:rPr>
              <w:t>Frequency</w:t>
            </w:r>
          </w:p>
        </w:tc>
        <w:tc>
          <w:tcPr>
            <w:tcW w:type="dxa" w:w="1682"/>
            <w:shd w:val="clear" w:color="auto" w:fill="1F3864"/>
          </w:tcPr>
          <w:p>
            <w:r/>
            <w:r>
              <w:rPr>
                <w:rFonts w:ascii="Calibri" w:hAnsi="Calibri" w:cs="Calibri" w:eastAsia="Calibri"/>
                <w:b/>
                <w:i w:val="0"/>
                <w:color w:val="FFFFFF"/>
                <w:sz w:val="16"/>
                <w:szCs w:val="16"/>
                <w:bCs/>
              </w:rPr>
              <w:t>Owner</w:t>
            </w:r>
          </w:p>
        </w:tc>
        <w:tc>
          <w:tcPr>
            <w:tcW w:type="dxa" w:w="1682"/>
            <w:shd w:val="clear" w:color="auto" w:fill="1F3864"/>
          </w:tcPr>
          <w:p>
            <w:r/>
            <w:r>
              <w:rPr>
                <w:rFonts w:ascii="Calibri" w:hAnsi="Calibri" w:cs="Calibri" w:eastAsia="Calibri"/>
                <w:b/>
                <w:i w:val="0"/>
                <w:color w:val="FFFFFF"/>
                <w:sz w:val="16"/>
                <w:szCs w:val="16"/>
                <w:bCs/>
              </w:rPr>
              <w:t>Current value</w:t>
            </w:r>
          </w:p>
        </w:tc>
      </w:tr>
      <w:tr>
        <w:tc>
          <w:tcPr>
            <w:tcW w:type="dxa" w:w="1682"/>
          </w:tcPr>
          <w:p>
            <w:r/>
            <w:r>
              <w:rPr>
                <w:rFonts w:ascii="Calibri" w:hAnsi="Calibri" w:cs="Calibri" w:eastAsia="Calibri"/>
                <w:b w:val="0"/>
                <w:i w:val="0"/>
                <w:sz w:val="16"/>
                <w:szCs w:val="16"/>
              </w:rPr>
              <w:t>KPI-01</w:t>
            </w:r>
          </w:p>
        </w:tc>
        <w:tc>
          <w:tcPr>
            <w:tcW w:type="dxa" w:w="1682"/>
          </w:tcPr>
          <w:p>
            <w:r/>
            <w:r>
              <w:rPr>
                <w:rFonts w:ascii="Calibri" w:hAnsi="Calibri" w:cs="Calibri" w:eastAsia="Calibri"/>
                <w:b w:val="0"/>
                <w:i w:val="0"/>
                <w:sz w:val="16"/>
                <w:szCs w:val="16"/>
              </w:rPr>
              <w:t>KPI</w:t>
            </w:r>
          </w:p>
        </w:tc>
        <w:tc>
          <w:tcPr>
            <w:tcW w:type="dxa" w:w="1682"/>
          </w:tcPr>
          <w:p>
            <w:r/>
            <w:r>
              <w:rPr>
                <w:rFonts w:ascii="Calibri" w:hAnsi="Calibri" w:cs="Calibri" w:eastAsia="Calibri"/>
                <w:b w:val="0"/>
                <w:i w:val="0"/>
                <w:sz w:val="16"/>
                <w:szCs w:val="16"/>
              </w:rPr>
              <w:t>Critical patches applied within SLA / total critical patches</w:t>
            </w:r>
          </w:p>
        </w:tc>
        <w:tc>
          <w:tcPr>
            <w:tcW w:type="dxa" w:w="1682"/>
          </w:tcPr>
          <w:p>
            <w:r/>
            <w:r>
              <w:rPr>
                <w:rFonts w:ascii="Calibri" w:hAnsi="Calibri" w:cs="Calibri" w:eastAsia="Calibri"/>
                <w:b w:val="0"/>
                <w:i w:val="0"/>
                <w:sz w:val="16"/>
                <w:szCs w:val="16"/>
              </w:rPr>
              <w:t>PR.PS-02</w:t>
            </w:r>
          </w:p>
        </w:tc>
        <w:tc>
          <w:tcPr>
            <w:tcW w:type="dxa" w:w="1682"/>
          </w:tcPr>
          <w:p>
            <w:r/>
            <w:r>
              <w:rPr>
                <w:rFonts w:ascii="Calibri" w:hAnsi="Calibri" w:cs="Calibri" w:eastAsia="Calibri"/>
                <w:b w:val="0"/>
                <w:i w:val="0"/>
                <w:sz w:val="16"/>
                <w:szCs w:val="16"/>
              </w:rPr>
              <w:t>Endpoint management and vulnerability scanner</w:t>
            </w:r>
          </w:p>
        </w:tc>
        <w:tc>
          <w:tcPr>
            <w:tcW w:type="dxa" w:w="1682"/>
          </w:tcPr>
          <w:p>
            <w:r/>
            <w:r>
              <w:rPr>
                <w:rFonts w:ascii="Calibri" w:hAnsi="Calibri" w:cs="Calibri" w:eastAsia="Calibri"/>
                <w:b w:val="0"/>
                <w:i w:val="0"/>
                <w:sz w:val="16"/>
                <w:szCs w:val="16"/>
              </w:rPr>
              <w:t>95%</w:t>
            </w:r>
          </w:p>
        </w:tc>
        <w:tc>
          <w:tcPr>
            <w:tcW w:type="dxa" w:w="1682"/>
          </w:tcPr>
          <w:p>
            <w:r/>
            <w:r>
              <w:rPr>
                <w:rFonts w:ascii="Calibri" w:hAnsi="Calibri" w:cs="Calibri" w:eastAsia="Calibri"/>
                <w:b w:val="0"/>
                <w:i w:val="0"/>
                <w:sz w:val="16"/>
                <w:szCs w:val="16"/>
              </w:rPr>
              <w:t>Monthly</w:t>
            </w:r>
          </w:p>
        </w:tc>
        <w:tc>
          <w:tcPr>
            <w:tcW w:type="dxa" w:w="1682"/>
          </w:tcPr>
          <w:p>
            <w:r/>
            <w:r>
              <w:rPr>
                <w:rFonts w:ascii="Calibri" w:hAnsi="Calibri" w:cs="Calibri" w:eastAsia="Calibri"/>
                <w:b w:val="0"/>
                <w:i w:val="0"/>
                <w:sz w:val="16"/>
                <w:szCs w:val="16"/>
              </w:rPr>
              <w:t>IT Infrastructure Manager</w:t>
            </w:r>
          </w:p>
        </w:tc>
        <w:tc>
          <w:tcPr>
            <w:tcW w:type="dxa" w:w="1682"/>
          </w:tcPr>
          <w:p>
            <w:r/>
            <w:r>
              <w:rPr>
                <w:rFonts w:ascii="Calibri" w:hAnsi="Calibri" w:cs="Calibri" w:eastAsia="Calibri"/>
                <w:b w:val="0"/>
                <w:i w:val="0"/>
                <w:sz w:val="16"/>
                <w:szCs w:val="16"/>
              </w:rPr>
              <w:t>88% (Sep 2026)</w:t>
            </w:r>
          </w:p>
        </w:tc>
      </w:tr>
      <w:tr>
        <w:tc>
          <w:tcPr>
            <w:tcW w:type="dxa" w:w="1682"/>
          </w:tcPr>
          <w:p>
            <w:r/>
            <w:r>
              <w:rPr>
                <w:rFonts w:ascii="Calibri" w:hAnsi="Calibri" w:cs="Calibri" w:eastAsia="Calibri"/>
                <w:b w:val="0"/>
                <w:i w:val="0"/>
                <w:sz w:val="16"/>
                <w:szCs w:val="16"/>
              </w:rPr>
              <w:t>KPI-02</w:t>
            </w:r>
          </w:p>
        </w:tc>
        <w:tc>
          <w:tcPr>
            <w:tcW w:type="dxa" w:w="1682"/>
          </w:tcPr>
          <w:p>
            <w:r/>
            <w:r>
              <w:rPr>
                <w:rFonts w:ascii="Calibri" w:hAnsi="Calibri" w:cs="Calibri" w:eastAsia="Calibri"/>
                <w:b w:val="0"/>
                <w:i w:val="0"/>
                <w:sz w:val="16"/>
                <w:szCs w:val="16"/>
              </w:rPr>
              <w:t>KPI</w:t>
            </w:r>
          </w:p>
        </w:tc>
        <w:tc>
          <w:tcPr>
            <w:tcW w:type="dxa" w:w="1682"/>
          </w:tcPr>
          <w:p>
            <w:r/>
            <w:r>
              <w:rPr>
                <w:rFonts w:ascii="Calibri" w:hAnsi="Calibri" w:cs="Calibri" w:eastAsia="Calibri"/>
                <w:b w:val="0"/>
                <w:i w:val="0"/>
                <w:sz w:val="16"/>
                <w:szCs w:val="16"/>
              </w:rPr>
              <w:t>Privileged and remote access with MFA / total</w:t>
            </w:r>
          </w:p>
        </w:tc>
        <w:tc>
          <w:tcPr>
            <w:tcW w:type="dxa" w:w="1682"/>
          </w:tcPr>
          <w:p>
            <w:r/>
            <w:r>
              <w:rPr>
                <w:rFonts w:ascii="Calibri" w:hAnsi="Calibri" w:cs="Calibri" w:eastAsia="Calibri"/>
                <w:b w:val="0"/>
                <w:i w:val="0"/>
                <w:sz w:val="16"/>
                <w:szCs w:val="16"/>
              </w:rPr>
              <w:t>PR.AA-03</w:t>
            </w:r>
          </w:p>
        </w:tc>
        <w:tc>
          <w:tcPr>
            <w:tcW w:type="dxa" w:w="1682"/>
          </w:tcPr>
          <w:p>
            <w:r/>
            <w:r>
              <w:rPr>
                <w:rFonts w:ascii="Calibri" w:hAnsi="Calibri" w:cs="Calibri" w:eastAsia="Calibri"/>
                <w:b w:val="0"/>
                <w:i w:val="0"/>
                <w:sz w:val="16"/>
                <w:szCs w:val="16"/>
              </w:rPr>
              <w:t>Identity platform</w:t>
            </w:r>
          </w:p>
        </w:tc>
        <w:tc>
          <w:tcPr>
            <w:tcW w:type="dxa" w:w="1682"/>
          </w:tcPr>
          <w:p>
            <w:r/>
            <w:r>
              <w:rPr>
                <w:rFonts w:ascii="Calibri" w:hAnsi="Calibri" w:cs="Calibri" w:eastAsia="Calibri"/>
                <w:b w:val="0"/>
                <w:i w:val="0"/>
                <w:sz w:val="16"/>
                <w:szCs w:val="16"/>
              </w:rPr>
              <w:t>100%</w:t>
            </w:r>
          </w:p>
        </w:tc>
        <w:tc>
          <w:tcPr>
            <w:tcW w:type="dxa" w:w="1682"/>
          </w:tcPr>
          <w:p>
            <w:r/>
            <w:r>
              <w:rPr>
                <w:rFonts w:ascii="Calibri" w:hAnsi="Calibri" w:cs="Calibri" w:eastAsia="Calibri"/>
                <w:b w:val="0"/>
                <w:i w:val="0"/>
                <w:sz w:val="16"/>
                <w:szCs w:val="16"/>
              </w:rPr>
              <w:t>Monthly</w:t>
            </w:r>
          </w:p>
        </w:tc>
        <w:tc>
          <w:tcPr>
            <w:tcW w:type="dxa" w:w="1682"/>
          </w:tcPr>
          <w:p>
            <w:r/>
            <w:r>
              <w:rPr>
                <w:rFonts w:ascii="Calibri" w:hAnsi="Calibri" w:cs="Calibri" w:eastAsia="Calibri"/>
                <w:b w:val="0"/>
                <w:i w:val="0"/>
                <w:sz w:val="16"/>
                <w:szCs w:val="16"/>
              </w:rPr>
              <w:t>Security Manager</w:t>
            </w:r>
          </w:p>
        </w:tc>
        <w:tc>
          <w:tcPr>
            <w:tcW w:type="dxa" w:w="1682"/>
          </w:tcPr>
          <w:p>
            <w:r/>
            <w:r>
              <w:rPr>
                <w:rFonts w:ascii="Calibri" w:hAnsi="Calibri" w:cs="Calibri" w:eastAsia="Calibri"/>
                <w:b w:val="0"/>
                <w:i w:val="0"/>
                <w:sz w:val="16"/>
                <w:szCs w:val="16"/>
              </w:rPr>
              <w:t>92%</w:t>
            </w:r>
          </w:p>
        </w:tc>
      </w:tr>
      <w:tr>
        <w:tc>
          <w:tcPr>
            <w:tcW w:type="dxa" w:w="1682"/>
          </w:tcPr>
          <w:p>
            <w:r/>
            <w:r>
              <w:rPr>
                <w:rFonts w:ascii="Calibri" w:hAnsi="Calibri" w:cs="Calibri" w:eastAsia="Calibri"/>
                <w:b w:val="0"/>
                <w:i w:val="0"/>
                <w:sz w:val="16"/>
                <w:szCs w:val="16"/>
              </w:rPr>
              <w:t>KPI-03</w:t>
            </w:r>
          </w:p>
        </w:tc>
        <w:tc>
          <w:tcPr>
            <w:tcW w:type="dxa" w:w="1682"/>
          </w:tcPr>
          <w:p>
            <w:r/>
            <w:r>
              <w:rPr>
                <w:rFonts w:ascii="Calibri" w:hAnsi="Calibri" w:cs="Calibri" w:eastAsia="Calibri"/>
                <w:b w:val="0"/>
                <w:i w:val="0"/>
                <w:sz w:val="16"/>
                <w:szCs w:val="16"/>
              </w:rPr>
              <w:t>KPI</w:t>
            </w:r>
          </w:p>
        </w:tc>
        <w:tc>
          <w:tcPr>
            <w:tcW w:type="dxa" w:w="1682"/>
          </w:tcPr>
          <w:p>
            <w:r/>
            <w:r>
              <w:rPr>
                <w:rFonts w:ascii="Calibri" w:hAnsi="Calibri" w:cs="Calibri" w:eastAsia="Calibri"/>
                <w:b w:val="0"/>
                <w:i w:val="0"/>
                <w:sz w:val="16"/>
                <w:szCs w:val="16"/>
              </w:rPr>
              <w:t>Staff completing annual awareness training / total staff</w:t>
            </w:r>
          </w:p>
        </w:tc>
        <w:tc>
          <w:tcPr>
            <w:tcW w:type="dxa" w:w="1682"/>
          </w:tcPr>
          <w:p>
            <w:r/>
            <w:r>
              <w:rPr>
                <w:rFonts w:ascii="Calibri" w:hAnsi="Calibri" w:cs="Calibri" w:eastAsia="Calibri"/>
                <w:b w:val="0"/>
                <w:i w:val="0"/>
                <w:sz w:val="16"/>
                <w:szCs w:val="16"/>
              </w:rPr>
              <w:t>PR.AT-01</w:t>
            </w:r>
          </w:p>
        </w:tc>
        <w:tc>
          <w:tcPr>
            <w:tcW w:type="dxa" w:w="1682"/>
          </w:tcPr>
          <w:p>
            <w:r/>
            <w:r>
              <w:rPr>
                <w:rFonts w:ascii="Calibri" w:hAnsi="Calibri" w:cs="Calibri" w:eastAsia="Calibri"/>
                <w:b w:val="0"/>
                <w:i w:val="0"/>
                <w:sz w:val="16"/>
                <w:szCs w:val="16"/>
              </w:rPr>
              <w:t>Learning system</w:t>
            </w:r>
          </w:p>
        </w:tc>
        <w:tc>
          <w:tcPr>
            <w:tcW w:type="dxa" w:w="1682"/>
          </w:tcPr>
          <w:p>
            <w:r/>
            <w:r>
              <w:rPr>
                <w:rFonts w:ascii="Calibri" w:hAnsi="Calibri" w:cs="Calibri" w:eastAsia="Calibri"/>
                <w:b w:val="0"/>
                <w:i w:val="0"/>
                <w:sz w:val="16"/>
                <w:szCs w:val="16"/>
              </w:rPr>
              <w:t>95%</w:t>
            </w:r>
          </w:p>
        </w:tc>
        <w:tc>
          <w:tcPr>
            <w:tcW w:type="dxa" w:w="1682"/>
          </w:tcPr>
          <w:p>
            <w:r/>
            <w:r>
              <w:rPr>
                <w:rFonts w:ascii="Calibri" w:hAnsi="Calibri" w:cs="Calibri" w:eastAsia="Calibri"/>
                <w:b w:val="0"/>
                <w:i w:val="0"/>
                <w:sz w:val="16"/>
                <w:szCs w:val="16"/>
              </w:rPr>
              <w:t>Quarterly</w:t>
            </w:r>
          </w:p>
        </w:tc>
        <w:tc>
          <w:tcPr>
            <w:tcW w:type="dxa" w:w="1682"/>
          </w:tcPr>
          <w:p>
            <w:r/>
            <w:r>
              <w:rPr>
                <w:rFonts w:ascii="Calibri" w:hAnsi="Calibri" w:cs="Calibri" w:eastAsia="Calibri"/>
                <w:b w:val="0"/>
                <w:i w:val="0"/>
                <w:sz w:val="16"/>
                <w:szCs w:val="16"/>
              </w:rPr>
              <w:t>Security Manager</w:t>
            </w:r>
          </w:p>
        </w:tc>
        <w:tc>
          <w:tcPr>
            <w:tcW w:type="dxa" w:w="1682"/>
          </w:tcPr>
          <w:p>
            <w:r/>
            <w:r>
              <w:rPr>
                <w:rFonts w:ascii="Calibri" w:hAnsi="Calibri" w:cs="Calibri" w:eastAsia="Calibri"/>
                <w:b w:val="0"/>
                <w:i w:val="0"/>
                <w:sz w:val="16"/>
                <w:szCs w:val="16"/>
              </w:rPr>
              <w:t>91%</w:t>
            </w:r>
          </w:p>
        </w:tc>
      </w:tr>
      <w:tr>
        <w:tc>
          <w:tcPr>
            <w:tcW w:type="dxa" w:w="1682"/>
          </w:tcPr>
          <w:p>
            <w:r/>
            <w:r>
              <w:rPr>
                <w:rFonts w:ascii="Calibri" w:hAnsi="Calibri" w:cs="Calibri" w:eastAsia="Calibri"/>
                <w:b w:val="0"/>
                <w:i w:val="0"/>
                <w:sz w:val="16"/>
                <w:szCs w:val="16"/>
              </w:rPr>
              <w:t>KPI-04</w:t>
            </w:r>
          </w:p>
        </w:tc>
        <w:tc>
          <w:tcPr>
            <w:tcW w:type="dxa" w:w="1682"/>
          </w:tcPr>
          <w:p>
            <w:r/>
            <w:r>
              <w:rPr>
                <w:rFonts w:ascii="Calibri" w:hAnsi="Calibri" w:cs="Calibri" w:eastAsia="Calibri"/>
                <w:b w:val="0"/>
                <w:i w:val="0"/>
                <w:sz w:val="16"/>
                <w:szCs w:val="16"/>
              </w:rPr>
              <w:t>KPI</w:t>
            </w:r>
          </w:p>
        </w:tc>
        <w:tc>
          <w:tcPr>
            <w:tcW w:type="dxa" w:w="1682"/>
          </w:tcPr>
          <w:p>
            <w:r/>
            <w:r>
              <w:rPr>
                <w:rFonts w:ascii="Calibri" w:hAnsi="Calibri" w:cs="Calibri" w:eastAsia="Calibri"/>
                <w:b w:val="0"/>
                <w:i w:val="0"/>
                <w:sz w:val="16"/>
                <w:szCs w:val="16"/>
              </w:rPr>
              <w:t>Critical log sources monitored / total critical sources</w:t>
            </w:r>
          </w:p>
        </w:tc>
        <w:tc>
          <w:tcPr>
            <w:tcW w:type="dxa" w:w="1682"/>
          </w:tcPr>
          <w:p>
            <w:r/>
            <w:r>
              <w:rPr>
                <w:rFonts w:ascii="Calibri" w:hAnsi="Calibri" w:cs="Calibri" w:eastAsia="Calibri"/>
                <w:b w:val="0"/>
                <w:i w:val="0"/>
                <w:sz w:val="16"/>
                <w:szCs w:val="16"/>
              </w:rPr>
              <w:t>DE.CM-01</w:t>
            </w:r>
          </w:p>
        </w:tc>
        <w:tc>
          <w:tcPr>
            <w:tcW w:type="dxa" w:w="1682"/>
          </w:tcPr>
          <w:p>
            <w:r/>
            <w:r>
              <w:rPr>
                <w:rFonts w:ascii="Calibri" w:hAnsi="Calibri" w:cs="Calibri" w:eastAsia="Calibri"/>
                <w:b w:val="0"/>
                <w:i w:val="0"/>
                <w:sz w:val="16"/>
                <w:szCs w:val="16"/>
              </w:rPr>
              <w:t>DE-REG-001</w:t>
            </w:r>
          </w:p>
        </w:tc>
        <w:tc>
          <w:tcPr>
            <w:tcW w:type="dxa" w:w="1682"/>
          </w:tcPr>
          <w:p>
            <w:r/>
            <w:r>
              <w:rPr>
                <w:rFonts w:ascii="Calibri" w:hAnsi="Calibri" w:cs="Calibri" w:eastAsia="Calibri"/>
                <w:b w:val="0"/>
                <w:i w:val="0"/>
                <w:sz w:val="16"/>
                <w:szCs w:val="16"/>
              </w:rPr>
              <w:t>95%</w:t>
            </w:r>
          </w:p>
        </w:tc>
        <w:tc>
          <w:tcPr>
            <w:tcW w:type="dxa" w:w="1682"/>
          </w:tcPr>
          <w:p>
            <w:r/>
            <w:r>
              <w:rPr>
                <w:rFonts w:ascii="Calibri" w:hAnsi="Calibri" w:cs="Calibri" w:eastAsia="Calibri"/>
                <w:b w:val="0"/>
                <w:i w:val="0"/>
                <w:sz w:val="16"/>
                <w:szCs w:val="16"/>
              </w:rPr>
              <w:t>Monthly</w:t>
            </w:r>
          </w:p>
        </w:tc>
        <w:tc>
          <w:tcPr>
            <w:tcW w:type="dxa" w:w="1682"/>
          </w:tcPr>
          <w:p>
            <w:r/>
            <w:r>
              <w:rPr>
                <w:rFonts w:ascii="Calibri" w:hAnsi="Calibri" w:cs="Calibri" w:eastAsia="Calibri"/>
                <w:b w:val="0"/>
                <w:i w:val="0"/>
                <w:sz w:val="16"/>
                <w:szCs w:val="16"/>
              </w:rPr>
              <w:t>SOC Lead</w:t>
            </w:r>
          </w:p>
        </w:tc>
        <w:tc>
          <w:tcPr>
            <w:tcW w:type="dxa" w:w="1682"/>
          </w:tcPr>
          <w:p>
            <w:r/>
            <w:r>
              <w:rPr>
                <w:rFonts w:ascii="Calibri" w:hAnsi="Calibri" w:cs="Calibri" w:eastAsia="Calibri"/>
                <w:b w:val="0"/>
                <w:i w:val="0"/>
                <w:sz w:val="16"/>
                <w:szCs w:val="16"/>
              </w:rPr>
              <w:t>81%</w:t>
            </w:r>
          </w:p>
        </w:tc>
      </w:tr>
      <w:tr>
        <w:tc>
          <w:tcPr>
            <w:tcW w:type="dxa" w:w="1682"/>
          </w:tcPr>
          <w:p>
            <w:r/>
            <w:r>
              <w:rPr>
                <w:rFonts w:ascii="Calibri" w:hAnsi="Calibri" w:cs="Calibri" w:eastAsia="Calibri"/>
                <w:b w:val="0"/>
                <w:i w:val="0"/>
                <w:sz w:val="16"/>
                <w:szCs w:val="16"/>
              </w:rPr>
              <w:t>KPI-05</w:t>
            </w:r>
          </w:p>
        </w:tc>
        <w:tc>
          <w:tcPr>
            <w:tcW w:type="dxa" w:w="1682"/>
          </w:tcPr>
          <w:p>
            <w:r/>
            <w:r>
              <w:rPr>
                <w:rFonts w:ascii="Calibri" w:hAnsi="Calibri" w:cs="Calibri" w:eastAsia="Calibri"/>
                <w:b w:val="0"/>
                <w:i w:val="0"/>
                <w:sz w:val="16"/>
                <w:szCs w:val="16"/>
              </w:rPr>
              <w:t>KPI</w:t>
            </w:r>
          </w:p>
        </w:tc>
        <w:tc>
          <w:tcPr>
            <w:tcW w:type="dxa" w:w="1682"/>
          </w:tcPr>
          <w:p>
            <w:r/>
            <w:r>
              <w:rPr>
                <w:rFonts w:ascii="Calibri" w:hAnsi="Calibri" w:cs="Calibri" w:eastAsia="Calibri"/>
                <w:b w:val="0"/>
                <w:i w:val="0"/>
                <w:sz w:val="16"/>
                <w:szCs w:val="16"/>
              </w:rPr>
              <w:t>Successful restore tests / scheduled restore tests</w:t>
            </w:r>
          </w:p>
        </w:tc>
        <w:tc>
          <w:tcPr>
            <w:tcW w:type="dxa" w:w="1682"/>
          </w:tcPr>
          <w:p>
            <w:r/>
            <w:r>
              <w:rPr>
                <w:rFonts w:ascii="Calibri" w:hAnsi="Calibri" w:cs="Calibri" w:eastAsia="Calibri"/>
                <w:b w:val="0"/>
                <w:i w:val="0"/>
                <w:sz w:val="16"/>
                <w:szCs w:val="16"/>
              </w:rPr>
              <w:t>PR.DS-11</w:t>
            </w:r>
          </w:p>
        </w:tc>
        <w:tc>
          <w:tcPr>
            <w:tcW w:type="dxa" w:w="1682"/>
          </w:tcPr>
          <w:p>
            <w:r/>
            <w:r>
              <w:rPr>
                <w:rFonts w:ascii="Calibri" w:hAnsi="Calibri" w:cs="Calibri" w:eastAsia="Calibri"/>
                <w:b w:val="0"/>
                <w:i w:val="0"/>
                <w:sz w:val="16"/>
                <w:szCs w:val="16"/>
              </w:rPr>
              <w:t>PR-REC-003</w:t>
            </w:r>
          </w:p>
        </w:tc>
        <w:tc>
          <w:tcPr>
            <w:tcW w:type="dxa" w:w="1682"/>
          </w:tcPr>
          <w:p>
            <w:r/>
            <w:r>
              <w:rPr>
                <w:rFonts w:ascii="Calibri" w:hAnsi="Calibri" w:cs="Calibri" w:eastAsia="Calibri"/>
                <w:b w:val="0"/>
                <w:i w:val="0"/>
                <w:sz w:val="16"/>
                <w:szCs w:val="16"/>
              </w:rPr>
              <w:t>100%</w:t>
            </w:r>
          </w:p>
        </w:tc>
        <w:tc>
          <w:tcPr>
            <w:tcW w:type="dxa" w:w="1682"/>
          </w:tcPr>
          <w:p>
            <w:r/>
            <w:r>
              <w:rPr>
                <w:rFonts w:ascii="Calibri" w:hAnsi="Calibri" w:cs="Calibri" w:eastAsia="Calibri"/>
                <w:b w:val="0"/>
                <w:i w:val="0"/>
                <w:sz w:val="16"/>
                <w:szCs w:val="16"/>
              </w:rPr>
              <w:t>Monthly</w:t>
            </w:r>
          </w:p>
        </w:tc>
        <w:tc>
          <w:tcPr>
            <w:tcW w:type="dxa" w:w="1682"/>
          </w:tcPr>
          <w:p>
            <w:r/>
            <w:r>
              <w:rPr>
                <w:rFonts w:ascii="Calibri" w:hAnsi="Calibri" w:cs="Calibri" w:eastAsia="Calibri"/>
                <w:b w:val="0"/>
                <w:i w:val="0"/>
                <w:sz w:val="16"/>
                <w:szCs w:val="16"/>
              </w:rPr>
              <w:t>IT Infrastructure Manager</w:t>
            </w:r>
          </w:p>
        </w:tc>
        <w:tc>
          <w:tcPr>
            <w:tcW w:type="dxa" w:w="1682"/>
          </w:tcPr>
          <w:p>
            <w:r/>
            <w:r>
              <w:rPr>
                <w:rFonts w:ascii="Calibri" w:hAnsi="Calibri" w:cs="Calibri" w:eastAsia="Calibri"/>
                <w:b w:val="0"/>
                <w:i w:val="0"/>
                <w:sz w:val="16"/>
                <w:szCs w:val="16"/>
              </w:rPr>
              <w:t>100%</w:t>
            </w:r>
          </w:p>
        </w:tc>
      </w:tr>
      <w:tr>
        <w:tc>
          <w:tcPr>
            <w:tcW w:type="dxa" w:w="1682"/>
          </w:tcPr>
          <w:p>
            <w:r/>
            <w:r>
              <w:rPr>
                <w:rFonts w:ascii="Calibri" w:hAnsi="Calibri" w:cs="Calibri" w:eastAsia="Calibri"/>
                <w:b w:val="0"/>
                <w:i w:val="0"/>
                <w:sz w:val="16"/>
                <w:szCs w:val="16"/>
              </w:rPr>
              <w:t>KRI-01</w:t>
            </w:r>
          </w:p>
        </w:tc>
        <w:tc>
          <w:tcPr>
            <w:tcW w:type="dxa" w:w="1682"/>
          </w:tcPr>
          <w:p>
            <w:r/>
            <w:r>
              <w:rPr>
                <w:rFonts w:ascii="Calibri" w:hAnsi="Calibri" w:cs="Calibri" w:eastAsia="Calibri"/>
                <w:b w:val="0"/>
                <w:i w:val="0"/>
                <w:sz w:val="16"/>
                <w:szCs w:val="16"/>
              </w:rPr>
              <w:t>KRI</w:t>
            </w:r>
          </w:p>
        </w:tc>
        <w:tc>
          <w:tcPr>
            <w:tcW w:type="dxa" w:w="1682"/>
          </w:tcPr>
          <w:p>
            <w:r/>
            <w:r>
              <w:rPr>
                <w:rFonts w:ascii="Calibri" w:hAnsi="Calibri" w:cs="Calibri" w:eastAsia="Calibri"/>
                <w:b w:val="0"/>
                <w:i w:val="0"/>
                <w:sz w:val="16"/>
                <w:szCs w:val="16"/>
              </w:rPr>
              <w:t>Internet-facing critical vulnerabilities older than 7 days</w:t>
            </w:r>
          </w:p>
        </w:tc>
        <w:tc>
          <w:tcPr>
            <w:tcW w:type="dxa" w:w="1682"/>
          </w:tcPr>
          <w:p>
            <w:r/>
            <w:r>
              <w:rPr>
                <w:rFonts w:ascii="Calibri" w:hAnsi="Calibri" w:cs="Calibri" w:eastAsia="Calibri"/>
                <w:b w:val="0"/>
                <w:i w:val="0"/>
                <w:sz w:val="16"/>
                <w:szCs w:val="16"/>
              </w:rPr>
              <w:t>ID.RA-01</w:t>
            </w:r>
          </w:p>
        </w:tc>
        <w:tc>
          <w:tcPr>
            <w:tcW w:type="dxa" w:w="1682"/>
          </w:tcPr>
          <w:p>
            <w:r/>
            <w:r>
              <w:rPr>
                <w:rFonts w:ascii="Calibri" w:hAnsi="Calibri" w:cs="Calibri" w:eastAsia="Calibri"/>
                <w:b w:val="0"/>
                <w:i w:val="0"/>
                <w:sz w:val="16"/>
                <w:szCs w:val="16"/>
              </w:rPr>
              <w:t>Vulnerability scanner</w:t>
            </w:r>
          </w:p>
        </w:tc>
        <w:tc>
          <w:tcPr>
            <w:tcW w:type="dxa" w:w="1682"/>
          </w:tcPr>
          <w:p>
            <w:r/>
            <w:r>
              <w:rPr>
                <w:rFonts w:ascii="Calibri" w:hAnsi="Calibri" w:cs="Calibri" w:eastAsia="Calibri"/>
                <w:b w:val="0"/>
                <w:i w:val="0"/>
                <w:sz w:val="16"/>
                <w:szCs w:val="16"/>
              </w:rPr>
              <w:t>0</w:t>
            </w:r>
          </w:p>
        </w:tc>
        <w:tc>
          <w:tcPr>
            <w:tcW w:type="dxa" w:w="1682"/>
          </w:tcPr>
          <w:p>
            <w:r/>
            <w:r>
              <w:rPr>
                <w:rFonts w:ascii="Calibri" w:hAnsi="Calibri" w:cs="Calibri" w:eastAsia="Calibri"/>
                <w:b w:val="0"/>
                <w:i w:val="0"/>
                <w:sz w:val="16"/>
                <w:szCs w:val="16"/>
              </w:rPr>
              <w:t>Weekly</w:t>
            </w:r>
          </w:p>
        </w:tc>
        <w:tc>
          <w:tcPr>
            <w:tcW w:type="dxa" w:w="1682"/>
          </w:tcPr>
          <w:p>
            <w:r/>
            <w:r>
              <w:rPr>
                <w:rFonts w:ascii="Calibri" w:hAnsi="Calibri" w:cs="Calibri" w:eastAsia="Calibri"/>
                <w:b w:val="0"/>
                <w:i w:val="0"/>
                <w:sz w:val="16"/>
                <w:szCs w:val="16"/>
              </w:rPr>
              <w:t>Security Manager</w:t>
            </w:r>
          </w:p>
        </w:tc>
        <w:tc>
          <w:tcPr>
            <w:tcW w:type="dxa" w:w="1682"/>
          </w:tcPr>
          <w:p>
            <w:r/>
            <w:r>
              <w:rPr>
                <w:rFonts w:ascii="Calibri" w:hAnsi="Calibri" w:cs="Calibri" w:eastAsia="Calibri"/>
                <w:b w:val="0"/>
                <w:i w:val="0"/>
                <w:sz w:val="16"/>
                <w:szCs w:val="16"/>
              </w:rPr>
              <w:t>0</w:t>
            </w:r>
          </w:p>
        </w:tc>
      </w:tr>
      <w:tr>
        <w:tc>
          <w:tcPr>
            <w:tcW w:type="dxa" w:w="1682"/>
          </w:tcPr>
          <w:p>
            <w:r/>
            <w:r>
              <w:rPr>
                <w:rFonts w:ascii="Calibri" w:hAnsi="Calibri" w:cs="Calibri" w:eastAsia="Calibri"/>
                <w:b w:val="0"/>
                <w:i w:val="0"/>
                <w:sz w:val="16"/>
                <w:szCs w:val="16"/>
              </w:rPr>
              <w:t>KRI-02</w:t>
            </w:r>
          </w:p>
        </w:tc>
        <w:tc>
          <w:tcPr>
            <w:tcW w:type="dxa" w:w="1682"/>
          </w:tcPr>
          <w:p>
            <w:r/>
            <w:r>
              <w:rPr>
                <w:rFonts w:ascii="Calibri" w:hAnsi="Calibri" w:cs="Calibri" w:eastAsia="Calibri"/>
                <w:b w:val="0"/>
                <w:i w:val="0"/>
                <w:sz w:val="16"/>
                <w:szCs w:val="16"/>
              </w:rPr>
              <w:t>KRI</w:t>
            </w:r>
          </w:p>
        </w:tc>
        <w:tc>
          <w:tcPr>
            <w:tcW w:type="dxa" w:w="1682"/>
          </w:tcPr>
          <w:p>
            <w:r/>
            <w:r>
              <w:rPr>
                <w:rFonts w:ascii="Calibri" w:hAnsi="Calibri" w:cs="Calibri" w:eastAsia="Calibri"/>
                <w:b w:val="0"/>
                <w:i w:val="0"/>
                <w:sz w:val="16"/>
                <w:szCs w:val="16"/>
              </w:rPr>
              <w:t>Open High or Critical risks without approved treatment older than 30 days</w:t>
            </w:r>
          </w:p>
        </w:tc>
        <w:tc>
          <w:tcPr>
            <w:tcW w:type="dxa" w:w="1682"/>
          </w:tcPr>
          <w:p>
            <w:r/>
            <w:r>
              <w:rPr>
                <w:rFonts w:ascii="Calibri" w:hAnsi="Calibri" w:cs="Calibri" w:eastAsia="Calibri"/>
                <w:b w:val="0"/>
                <w:i w:val="0"/>
                <w:sz w:val="16"/>
                <w:szCs w:val="16"/>
              </w:rPr>
              <w:t>ID.RA-06</w:t>
            </w:r>
          </w:p>
        </w:tc>
        <w:tc>
          <w:tcPr>
            <w:tcW w:type="dxa" w:w="1682"/>
          </w:tcPr>
          <w:p>
            <w:r/>
            <w:r>
              <w:rPr>
                <w:rFonts w:ascii="Calibri" w:hAnsi="Calibri" w:cs="Calibri" w:eastAsia="Calibri"/>
                <w:b w:val="0"/>
                <w:i w:val="0"/>
                <w:sz w:val="16"/>
                <w:szCs w:val="16"/>
              </w:rPr>
              <w:t>ID-REG-005</w:t>
            </w:r>
          </w:p>
        </w:tc>
        <w:tc>
          <w:tcPr>
            <w:tcW w:type="dxa" w:w="1682"/>
          </w:tcPr>
          <w:p>
            <w:r/>
            <w:r>
              <w:rPr>
                <w:rFonts w:ascii="Calibri" w:hAnsi="Calibri" w:cs="Calibri" w:eastAsia="Calibri"/>
                <w:b w:val="0"/>
                <w:i w:val="0"/>
                <w:sz w:val="16"/>
                <w:szCs w:val="16"/>
              </w:rPr>
              <w:t>0</w:t>
            </w:r>
          </w:p>
        </w:tc>
        <w:tc>
          <w:tcPr>
            <w:tcW w:type="dxa" w:w="1682"/>
          </w:tcPr>
          <w:p>
            <w:r/>
            <w:r>
              <w:rPr>
                <w:rFonts w:ascii="Calibri" w:hAnsi="Calibri" w:cs="Calibri" w:eastAsia="Calibri"/>
                <w:b w:val="0"/>
                <w:i w:val="0"/>
                <w:sz w:val="16"/>
                <w:szCs w:val="16"/>
              </w:rPr>
              <w:t>Quarterly</w:t>
            </w:r>
          </w:p>
        </w:tc>
        <w:tc>
          <w:tcPr>
            <w:tcW w:type="dxa" w:w="1682"/>
          </w:tcPr>
          <w:p>
            <w:r/>
            <w:r>
              <w:rPr>
                <w:rFonts w:ascii="Calibri" w:hAnsi="Calibri" w:cs="Calibri" w:eastAsia="Calibri"/>
                <w:b w:val="0"/>
                <w:i w:val="0"/>
                <w:sz w:val="16"/>
                <w:szCs w:val="16"/>
              </w:rPr>
              <w:t>Security Manager</w:t>
            </w:r>
          </w:p>
        </w:tc>
        <w:tc>
          <w:tcPr>
            <w:tcW w:type="dxa" w:w="1682"/>
          </w:tcPr>
          <w:p>
            <w:r/>
            <w:r>
              <w:rPr>
                <w:rFonts w:ascii="Calibri" w:hAnsi="Calibri" w:cs="Calibri" w:eastAsia="Calibri"/>
                <w:b w:val="0"/>
                <w:i w:val="0"/>
                <w:sz w:val="16"/>
                <w:szCs w:val="16"/>
              </w:rPr>
              <w:t>1</w:t>
            </w:r>
          </w:p>
        </w:tc>
      </w:tr>
      <w:tr>
        <w:tc>
          <w:tcPr>
            <w:tcW w:type="dxa" w:w="1682"/>
          </w:tcPr>
          <w:p>
            <w:r/>
            <w:r>
              <w:rPr>
                <w:rFonts w:ascii="Calibri" w:hAnsi="Calibri" w:cs="Calibri" w:eastAsia="Calibri"/>
                <w:b w:val="0"/>
                <w:i w:val="0"/>
                <w:sz w:val="16"/>
                <w:szCs w:val="16"/>
              </w:rPr>
              <w:t>KRI-03</w:t>
            </w:r>
          </w:p>
        </w:tc>
        <w:tc>
          <w:tcPr>
            <w:tcW w:type="dxa" w:w="1682"/>
          </w:tcPr>
          <w:p>
            <w:r/>
            <w:r>
              <w:rPr>
                <w:rFonts w:ascii="Calibri" w:hAnsi="Calibri" w:cs="Calibri" w:eastAsia="Calibri"/>
                <w:b w:val="0"/>
                <w:i w:val="0"/>
                <w:sz w:val="16"/>
                <w:szCs w:val="16"/>
              </w:rPr>
              <w:t>KRI</w:t>
            </w:r>
          </w:p>
        </w:tc>
        <w:tc>
          <w:tcPr>
            <w:tcW w:type="dxa" w:w="1682"/>
          </w:tcPr>
          <w:p>
            <w:r/>
            <w:r>
              <w:rPr>
                <w:rFonts w:ascii="Calibri" w:hAnsi="Calibri" w:cs="Calibri" w:eastAsia="Calibri"/>
                <w:b w:val="0"/>
                <w:i w:val="0"/>
                <w:sz w:val="16"/>
                <w:szCs w:val="16"/>
              </w:rPr>
              <w:t>Expired policy exceptions</w:t>
            </w:r>
          </w:p>
        </w:tc>
        <w:tc>
          <w:tcPr>
            <w:tcW w:type="dxa" w:w="1682"/>
          </w:tcPr>
          <w:p>
            <w:r/>
            <w:r>
              <w:rPr>
                <w:rFonts w:ascii="Calibri" w:hAnsi="Calibri" w:cs="Calibri" w:eastAsia="Calibri"/>
                <w:b w:val="0"/>
                <w:i w:val="0"/>
                <w:sz w:val="16"/>
                <w:szCs w:val="16"/>
              </w:rPr>
              <w:t>ID.RA-07</w:t>
            </w:r>
          </w:p>
        </w:tc>
        <w:tc>
          <w:tcPr>
            <w:tcW w:type="dxa" w:w="1682"/>
          </w:tcPr>
          <w:p>
            <w:r/>
            <w:r>
              <w:rPr>
                <w:rFonts w:ascii="Calibri" w:hAnsi="Calibri" w:cs="Calibri" w:eastAsia="Calibri"/>
                <w:b w:val="0"/>
                <w:i w:val="0"/>
                <w:sz w:val="16"/>
                <w:szCs w:val="16"/>
              </w:rPr>
              <w:t>GV-REG-004</w:t>
            </w:r>
          </w:p>
        </w:tc>
        <w:tc>
          <w:tcPr>
            <w:tcW w:type="dxa" w:w="1682"/>
          </w:tcPr>
          <w:p>
            <w:r/>
            <w:r>
              <w:rPr>
                <w:rFonts w:ascii="Calibri" w:hAnsi="Calibri" w:cs="Calibri" w:eastAsia="Calibri"/>
                <w:b w:val="0"/>
                <w:i w:val="0"/>
                <w:sz w:val="16"/>
                <w:szCs w:val="16"/>
              </w:rPr>
              <w:t>0</w:t>
            </w:r>
          </w:p>
        </w:tc>
        <w:tc>
          <w:tcPr>
            <w:tcW w:type="dxa" w:w="1682"/>
          </w:tcPr>
          <w:p>
            <w:r/>
            <w:r>
              <w:rPr>
                <w:rFonts w:ascii="Calibri" w:hAnsi="Calibri" w:cs="Calibri" w:eastAsia="Calibri"/>
                <w:b w:val="0"/>
                <w:i w:val="0"/>
                <w:sz w:val="16"/>
                <w:szCs w:val="16"/>
              </w:rPr>
              <w:t>Monthly</w:t>
            </w:r>
          </w:p>
        </w:tc>
        <w:tc>
          <w:tcPr>
            <w:tcW w:type="dxa" w:w="1682"/>
          </w:tcPr>
          <w:p>
            <w:r/>
            <w:r>
              <w:rPr>
                <w:rFonts w:ascii="Calibri" w:hAnsi="Calibri" w:cs="Calibri" w:eastAsia="Calibri"/>
                <w:b w:val="0"/>
                <w:i w:val="0"/>
                <w:sz w:val="16"/>
                <w:szCs w:val="16"/>
              </w:rPr>
              <w:t>Security Manager</w:t>
            </w:r>
          </w:p>
        </w:tc>
        <w:tc>
          <w:tcPr>
            <w:tcW w:type="dxa" w:w="1682"/>
          </w:tcPr>
          <w:p>
            <w:r/>
            <w:r>
              <w:rPr>
                <w:rFonts w:ascii="Calibri" w:hAnsi="Calibri" w:cs="Calibri" w:eastAsia="Calibri"/>
                <w:b w:val="0"/>
                <w:i w:val="0"/>
                <w:sz w:val="16"/>
                <w:szCs w:val="16"/>
              </w:rPr>
              <w:t>0</w:t>
            </w:r>
          </w:p>
        </w:tc>
      </w:tr>
      <w:tr>
        <w:tc>
          <w:tcPr>
            <w:tcW w:type="dxa" w:w="1682"/>
          </w:tcPr>
          <w:p>
            <w:r/>
            <w:r>
              <w:rPr>
                <w:rFonts w:ascii="Calibri" w:hAnsi="Calibri" w:cs="Calibri" w:eastAsia="Calibri"/>
                <w:b w:val="0"/>
                <w:i w:val="0"/>
                <w:sz w:val="16"/>
                <w:szCs w:val="16"/>
              </w:rPr>
              <w:t>KRI-04</w:t>
            </w:r>
          </w:p>
        </w:tc>
        <w:tc>
          <w:tcPr>
            <w:tcW w:type="dxa" w:w="1682"/>
          </w:tcPr>
          <w:p>
            <w:r/>
            <w:r>
              <w:rPr>
                <w:rFonts w:ascii="Calibri" w:hAnsi="Calibri" w:cs="Calibri" w:eastAsia="Calibri"/>
                <w:b w:val="0"/>
                <w:i w:val="0"/>
                <w:sz w:val="16"/>
                <w:szCs w:val="16"/>
              </w:rPr>
              <w:t>KRI</w:t>
            </w:r>
          </w:p>
        </w:tc>
        <w:tc>
          <w:tcPr>
            <w:tcW w:type="dxa" w:w="1682"/>
          </w:tcPr>
          <w:p>
            <w:r/>
            <w:r>
              <w:rPr>
                <w:rFonts w:ascii="Calibri" w:hAnsi="Calibri" w:cs="Calibri" w:eastAsia="Calibri"/>
                <w:b w:val="0"/>
                <w:i w:val="0"/>
                <w:sz w:val="16"/>
                <w:szCs w:val="16"/>
              </w:rPr>
              <w:t>Phishing simulation click rate</w:t>
            </w:r>
          </w:p>
        </w:tc>
        <w:tc>
          <w:tcPr>
            <w:tcW w:type="dxa" w:w="1682"/>
          </w:tcPr>
          <w:p>
            <w:r/>
            <w:r>
              <w:rPr>
                <w:rFonts w:ascii="Calibri" w:hAnsi="Calibri" w:cs="Calibri" w:eastAsia="Calibri"/>
                <w:b w:val="0"/>
                <w:i w:val="0"/>
                <w:sz w:val="16"/>
                <w:szCs w:val="16"/>
              </w:rPr>
              <w:t>PR.AT-01</w:t>
            </w:r>
          </w:p>
        </w:tc>
        <w:tc>
          <w:tcPr>
            <w:tcW w:type="dxa" w:w="1682"/>
          </w:tcPr>
          <w:p>
            <w:r/>
            <w:r>
              <w:rPr>
                <w:rFonts w:ascii="Calibri" w:hAnsi="Calibri" w:cs="Calibri" w:eastAsia="Calibri"/>
                <w:b w:val="0"/>
                <w:i w:val="0"/>
                <w:sz w:val="16"/>
                <w:szCs w:val="16"/>
              </w:rPr>
              <w:t>Phishing platform</w:t>
            </w:r>
          </w:p>
        </w:tc>
        <w:tc>
          <w:tcPr>
            <w:tcW w:type="dxa" w:w="1682"/>
          </w:tcPr>
          <w:p>
            <w:r/>
            <w:r>
              <w:rPr>
                <w:rFonts w:ascii="Calibri" w:hAnsi="Calibri" w:cs="Calibri" w:eastAsia="Calibri"/>
                <w:b w:val="0"/>
                <w:i w:val="0"/>
                <w:sz w:val="16"/>
                <w:szCs w:val="16"/>
              </w:rPr>
              <w:t>Below 10%</w:t>
            </w:r>
          </w:p>
        </w:tc>
        <w:tc>
          <w:tcPr>
            <w:tcW w:type="dxa" w:w="1682"/>
          </w:tcPr>
          <w:p>
            <w:r/>
            <w:r>
              <w:rPr>
                <w:rFonts w:ascii="Calibri" w:hAnsi="Calibri" w:cs="Calibri" w:eastAsia="Calibri"/>
                <w:b w:val="0"/>
                <w:i w:val="0"/>
                <w:sz w:val="16"/>
                <w:szCs w:val="16"/>
              </w:rPr>
              <w:t>Quarterly</w:t>
            </w:r>
          </w:p>
        </w:tc>
        <w:tc>
          <w:tcPr>
            <w:tcW w:type="dxa" w:w="1682"/>
          </w:tcPr>
          <w:p>
            <w:r/>
            <w:r>
              <w:rPr>
                <w:rFonts w:ascii="Calibri" w:hAnsi="Calibri" w:cs="Calibri" w:eastAsia="Calibri"/>
                <w:b w:val="0"/>
                <w:i w:val="0"/>
                <w:sz w:val="16"/>
                <w:szCs w:val="16"/>
              </w:rPr>
              <w:t>Security Manager</w:t>
            </w:r>
          </w:p>
        </w:tc>
        <w:tc>
          <w:tcPr>
            <w:tcW w:type="dxa" w:w="1682"/>
          </w:tcPr>
          <w:p>
            <w:r/>
            <w:r>
              <w:rPr>
                <w:rFonts w:ascii="Calibri" w:hAnsi="Calibri" w:cs="Calibri" w:eastAsia="Calibri"/>
                <w:b w:val="0"/>
                <w:i w:val="0"/>
                <w:sz w:val="16"/>
                <w:szCs w:val="16"/>
              </w:rPr>
              <w:t>12%</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Measure fewer things well: 8 to 15 metrics that drive decisions are better than 50 that nobody reads.</w:t>
      </w:r>
    </w:p>
    <w:p>
      <w:pPr>
        <w:pStyle w:val="ListBullet"/>
        <w:spacing w:after="40"/>
      </w:pPr>
      <w:r>
        <w:rPr>
          <w:rFonts w:ascii="Calibri" w:hAnsi="Calibri" w:cs="Calibri" w:eastAsia="Calibri"/>
          <w:b w:val="0"/>
          <w:i w:val="0"/>
          <w:sz w:val="21"/>
          <w:szCs w:val="21"/>
        </w:rPr>
        <w:t>Link every KRI to a risk appetite tolerance (GV-STM-001).</w:t>
      </w:r>
    </w:p>
    <w:p>
      <w:pPr>
        <w:pStyle w:val="ListBullet"/>
        <w:spacing w:after="40"/>
      </w:pPr>
      <w:r>
        <w:rPr>
          <w:rFonts w:ascii="Calibri" w:hAnsi="Calibri" w:cs="Calibri" w:eastAsia="Calibri"/>
          <w:b w:val="0"/>
          <w:i w:val="0"/>
          <w:sz w:val="21"/>
          <w:szCs w:val="21"/>
        </w:rPr>
        <w:t>Automate collection from source systems to avoid manual manipulation.</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Reporting activity counts (number of alerts) that do not show risk or performance.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GV.OV-03: Risk management performance is evaluated and reviewed for adjustments needed</w:t>
            </w:r>
          </w:p>
          <w:p>
            <w:r>
              <w:rPr>
                <w:rFonts w:ascii="Calibri" w:hAnsi="Calibri" w:cs="Calibri" w:eastAsia="Calibri"/>
                <w:b w:val="0"/>
                <w:i w:val="0"/>
                <w:sz w:val="18"/>
                <w:szCs w:val="18"/>
              </w:rPr>
              <w:t>ID.IM-01: Improvements are identified from evaluations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9.1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PM-6, CA-7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9.1 (documented evidence of monitoring and measurement results; the catalog records definitions and results)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GV-STR-001: Cybersecurity Strategy and Roadmap</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GV-TPL-005: Board Cybersecurity Report Template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GV-REG-008  |  Cybersecurity Metrics Catalog (KPI and KRI)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