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Board Cybersecurity Report Template</w:t>
      </w:r>
    </w:p>
    <w:p>
      <w:pPr>
        <w:spacing w:after="80" w:before="0"/>
      </w:pPr>
      <w:r>
        <w:rPr>
          <w:rFonts w:ascii="Calibri" w:hAnsi="Calibri" w:cs="Calibri" w:eastAsia="Calibri"/>
          <w:b w:val="0"/>
          <w:i w:val="0"/>
          <w:color w:val="595959"/>
          <w:sz w:val="18"/>
          <w:szCs w:val="18"/>
        </w:rPr>
        <w:t>GV-TPL-005  |  Template  |  Oversight (GV.OV)</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GV-TPL-005</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Board Cybersecurity Report Template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19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19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Template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Oversight (GV.OV)</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Common practice; NIST IR 8286 series</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10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19 June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gives the Board a concise, decision-focused view of cyber risk, program progress, incidents, and requests for support.</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is used by the units and roles named in its parent document (GV-REG-008) and covers the activities that document defines.</w:t>
      </w:r>
    </w:p>
    <w:p>
      <w:pPr>
        <w:pStyle w:val="Heading2"/>
        <w:keepNext/>
        <w:spacing w:before="120" w:after="80"/>
      </w:pPr>
      <w:r>
        <w:rPr>
          <w:rFonts w:ascii="Calibri" w:hAnsi="Calibri" w:cs="Calibri" w:eastAsia="Calibri"/>
          <w:b/>
          <w:i w:val="0"/>
          <w:color w:val="1F3864"/>
          <w:sz w:val="24"/>
          <w:szCs w:val="24"/>
          <w:bCs/>
        </w:rPr>
        <w:t>4.3 Report Structure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Use a top-down structure: key message first, then evidence (Pyramid Principle).</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984"/>
        <w:gridCol w:w="3118"/>
        <w:gridCol w:w="4252"/>
      </w:tblGrid>
      <w:tr>
        <w:trPr>
          <w:tblHeader w:val="true"/>
        </w:trPr>
        <w:tc>
          <w:tcPr>
            <w:tcW w:type="dxa" w:w="1984"/>
            <w:shd w:val="clear" w:color="auto" w:fill="1F3864"/>
          </w:tcPr>
          <w:p>
            <w:r/>
            <w:r>
              <w:rPr>
                <w:rFonts w:ascii="Calibri" w:hAnsi="Calibri" w:cs="Calibri" w:eastAsia="Calibri"/>
                <w:b/>
                <w:i w:val="0"/>
                <w:color w:val="FFFFFF"/>
                <w:sz w:val="18"/>
                <w:szCs w:val="18"/>
                <w:bCs/>
              </w:rPr>
              <w:t>Page</w:t>
            </w:r>
          </w:p>
        </w:tc>
        <w:tc>
          <w:tcPr>
            <w:tcW w:type="dxa" w:w="3118"/>
            <w:shd w:val="clear" w:color="auto" w:fill="1F3864"/>
          </w:tcPr>
          <w:p>
            <w:r/>
            <w:r>
              <w:rPr>
                <w:rFonts w:ascii="Calibri" w:hAnsi="Calibri" w:cs="Calibri" w:eastAsia="Calibri"/>
                <w:b/>
                <w:i w:val="0"/>
                <w:color w:val="FFFFFF"/>
                <w:sz w:val="18"/>
                <w:szCs w:val="18"/>
                <w:bCs/>
              </w:rPr>
              <w:t>Key message (H1 2026 report)</w:t>
            </w:r>
          </w:p>
        </w:tc>
        <w:tc>
          <w:tcPr>
            <w:tcW w:type="dxa" w:w="4252"/>
            <w:shd w:val="clear" w:color="auto" w:fill="1F3864"/>
          </w:tcPr>
          <w:p>
            <w:r/>
            <w:r>
              <w:rPr>
                <w:rFonts w:ascii="Calibri" w:hAnsi="Calibri" w:cs="Calibri" w:eastAsia="Calibri"/>
                <w:b/>
                <w:i w:val="0"/>
                <w:color w:val="FFFFFF"/>
                <w:sz w:val="18"/>
                <w:szCs w:val="18"/>
                <w:bCs/>
              </w:rPr>
              <w:t>Content</w:t>
            </w:r>
          </w:p>
        </w:tc>
      </w:tr>
      <w:tr>
        <w:tc>
          <w:tcPr>
            <w:tcW w:type="dxa" w:w="1984"/>
          </w:tcPr>
          <w:p>
            <w:r/>
            <w:r>
              <w:rPr>
                <w:rFonts w:ascii="Calibri" w:hAnsi="Calibri" w:cs="Calibri" w:eastAsia="Calibri"/>
                <w:b w:val="0"/>
                <w:i w:val="0"/>
                <w:sz w:val="18"/>
                <w:szCs w:val="18"/>
              </w:rPr>
              <w:t>1. Summary</w:t>
            </w:r>
          </w:p>
        </w:tc>
        <w:tc>
          <w:tcPr>
            <w:tcW w:type="dxa" w:w="3118"/>
          </w:tcPr>
          <w:p>
            <w:r/>
            <w:r>
              <w:rPr>
                <w:rFonts w:ascii="Calibri" w:hAnsi="Calibri" w:cs="Calibri" w:eastAsia="Calibri"/>
                <w:b w:val="0"/>
                <w:i w:val="0"/>
                <w:sz w:val="18"/>
                <w:szCs w:val="18"/>
              </w:rPr>
              <w:t>Ransomware recovery capability improved; overall risk remains above appetite for vendor access</w:t>
            </w:r>
          </w:p>
        </w:tc>
        <w:tc>
          <w:tcPr>
            <w:tcW w:type="dxa" w:w="4252"/>
          </w:tcPr>
          <w:p>
            <w:r/>
            <w:r>
              <w:rPr>
                <w:rFonts w:ascii="Calibri" w:hAnsi="Calibri" w:cs="Calibri" w:eastAsia="Calibri"/>
                <w:b w:val="0"/>
                <w:i w:val="0"/>
                <w:sz w:val="18"/>
                <w:szCs w:val="18"/>
              </w:rPr>
              <w:t>Backup and MSSP delivered; vendor access is the main open gap</w:t>
            </w:r>
          </w:p>
        </w:tc>
      </w:tr>
      <w:tr>
        <w:tc>
          <w:tcPr>
            <w:tcW w:type="dxa" w:w="1984"/>
          </w:tcPr>
          <w:p>
            <w:r/>
            <w:r>
              <w:rPr>
                <w:rFonts w:ascii="Calibri" w:hAnsi="Calibri" w:cs="Calibri" w:eastAsia="Calibri"/>
                <w:b w:val="0"/>
                <w:i w:val="0"/>
                <w:sz w:val="18"/>
                <w:szCs w:val="18"/>
              </w:rPr>
              <w:t>2. Top risks</w:t>
            </w:r>
          </w:p>
        </w:tc>
        <w:tc>
          <w:tcPr>
            <w:tcW w:type="dxa" w:w="3118"/>
          </w:tcPr>
          <w:p>
            <w:r/>
            <w:r>
              <w:rPr>
                <w:rFonts w:ascii="Calibri" w:hAnsi="Calibri" w:cs="Calibri" w:eastAsia="Calibri"/>
                <w:b w:val="0"/>
                <w:i w:val="0"/>
                <w:sz w:val="18"/>
                <w:szCs w:val="18"/>
              </w:rPr>
              <w:t>R-001 ransomware moved from Critical (16) to High (12)</w:t>
            </w:r>
          </w:p>
        </w:tc>
        <w:tc>
          <w:tcPr>
            <w:tcW w:type="dxa" w:w="4252"/>
          </w:tcPr>
          <w:p>
            <w:r/>
            <w:r>
              <w:rPr>
                <w:rFonts w:ascii="Calibri" w:hAnsi="Calibri" w:cs="Calibri" w:eastAsia="Calibri"/>
                <w:b w:val="0"/>
                <w:i w:val="0"/>
                <w:sz w:val="18"/>
                <w:szCs w:val="18"/>
              </w:rPr>
              <w:t>Heat map with five risks</w:t>
            </w:r>
          </w:p>
        </w:tc>
      </w:tr>
      <w:tr>
        <w:tc>
          <w:tcPr>
            <w:tcW w:type="dxa" w:w="1984"/>
          </w:tcPr>
          <w:p>
            <w:r/>
            <w:r>
              <w:rPr>
                <w:rFonts w:ascii="Calibri" w:hAnsi="Calibri" w:cs="Calibri" w:eastAsia="Calibri"/>
                <w:b w:val="0"/>
                <w:i w:val="0"/>
                <w:sz w:val="18"/>
                <w:szCs w:val="18"/>
              </w:rPr>
              <w:t>3. Program progress</w:t>
            </w:r>
          </w:p>
        </w:tc>
        <w:tc>
          <w:tcPr>
            <w:tcW w:type="dxa" w:w="3118"/>
          </w:tcPr>
          <w:p>
            <w:r/>
            <w:r>
              <w:rPr>
                <w:rFonts w:ascii="Calibri" w:hAnsi="Calibri" w:cs="Calibri" w:eastAsia="Calibri"/>
                <w:b w:val="0"/>
                <w:i w:val="0"/>
                <w:sz w:val="18"/>
                <w:szCs w:val="18"/>
              </w:rPr>
              <w:t>Roadmap 78% on track despite 15% budget cut</w:t>
            </w:r>
          </w:p>
        </w:tc>
        <w:tc>
          <w:tcPr>
            <w:tcW w:type="dxa" w:w="4252"/>
          </w:tcPr>
          <w:p>
            <w:r/>
            <w:r>
              <w:rPr>
                <w:rFonts w:ascii="Calibri" w:hAnsi="Calibri" w:cs="Calibri" w:eastAsia="Calibri"/>
                <w:b w:val="0"/>
                <w:i w:val="0"/>
                <w:sz w:val="18"/>
                <w:szCs w:val="18"/>
              </w:rPr>
              <w:t>DLP deferred to 2027</w:t>
            </w:r>
          </w:p>
        </w:tc>
      </w:tr>
      <w:tr>
        <w:tc>
          <w:tcPr>
            <w:tcW w:type="dxa" w:w="1984"/>
          </w:tcPr>
          <w:p>
            <w:r/>
            <w:r>
              <w:rPr>
                <w:rFonts w:ascii="Calibri" w:hAnsi="Calibri" w:cs="Calibri" w:eastAsia="Calibri"/>
                <w:b w:val="0"/>
                <w:i w:val="0"/>
                <w:sz w:val="18"/>
                <w:szCs w:val="18"/>
              </w:rPr>
              <w:t>4. Incidents and compliance</w:t>
            </w:r>
          </w:p>
        </w:tc>
        <w:tc>
          <w:tcPr>
            <w:tcW w:type="dxa" w:w="3118"/>
          </w:tcPr>
          <w:p>
            <w:r/>
            <w:r>
              <w:rPr>
                <w:rFonts w:ascii="Calibri" w:hAnsi="Calibri" w:cs="Calibri" w:eastAsia="Calibri"/>
                <w:b w:val="0"/>
                <w:i w:val="0"/>
                <w:sz w:val="18"/>
                <w:szCs w:val="18"/>
              </w:rPr>
              <w:t>One email compromise attempt contained in 2 hours; no notifiable breach</w:t>
            </w:r>
          </w:p>
        </w:tc>
        <w:tc>
          <w:tcPr>
            <w:tcW w:type="dxa" w:w="4252"/>
          </w:tcPr>
          <w:p>
            <w:r/>
            <w:r>
              <w:rPr>
                <w:rFonts w:ascii="Calibri" w:hAnsi="Calibri" w:cs="Calibri" w:eastAsia="Calibri"/>
                <w:b w:val="0"/>
                <w:i w:val="0"/>
                <w:sz w:val="18"/>
                <w:szCs w:val="18"/>
              </w:rPr>
              <w:t>CII annual assessment submitted on time</w:t>
            </w:r>
          </w:p>
        </w:tc>
      </w:tr>
      <w:tr>
        <w:tc>
          <w:tcPr>
            <w:tcW w:type="dxa" w:w="1984"/>
          </w:tcPr>
          <w:p>
            <w:r/>
            <w:r>
              <w:rPr>
                <w:rFonts w:ascii="Calibri" w:hAnsi="Calibri" w:cs="Calibri" w:eastAsia="Calibri"/>
                <w:b w:val="0"/>
                <w:i w:val="0"/>
                <w:sz w:val="18"/>
                <w:szCs w:val="18"/>
              </w:rPr>
              <w:t>5. Decisions requested</w:t>
            </w:r>
          </w:p>
        </w:tc>
        <w:tc>
          <w:tcPr>
            <w:tcW w:type="dxa" w:w="3118"/>
          </w:tcPr>
          <w:p>
            <w:r/>
            <w:r>
              <w:rPr>
                <w:rFonts w:ascii="Calibri" w:hAnsi="Calibri" w:cs="Calibri" w:eastAsia="Calibri"/>
                <w:b w:val="0"/>
                <w:i w:val="0"/>
                <w:sz w:val="18"/>
                <w:szCs w:val="18"/>
              </w:rPr>
              <w:t>Approve THB 2.1 million for medical device network isolation in 2027</w:t>
            </w:r>
          </w:p>
        </w:tc>
        <w:tc>
          <w:tcPr>
            <w:tcW w:type="dxa" w:w="4252"/>
          </w:tcPr>
          <w:p>
            <w:r/>
            <w:r>
              <w:rPr>
                <w:rFonts w:ascii="Calibri" w:hAnsi="Calibri" w:cs="Calibri" w:eastAsia="Calibri"/>
                <w:b w:val="0"/>
                <w:i w:val="0"/>
                <w:sz w:val="18"/>
                <w:szCs w:val="18"/>
              </w:rPr>
              <w:t>Option A full isolation; Option B priority devices only</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Write in business terms: downtime, patient or customer impact, legal exposure, and cost.</w:t>
      </w:r>
    </w:p>
    <w:p>
      <w:pPr>
        <w:pStyle w:val="ListBullet"/>
        <w:spacing w:after="40"/>
      </w:pPr>
      <w:r>
        <w:rPr>
          <w:rFonts w:ascii="Calibri" w:hAnsi="Calibri" w:cs="Calibri" w:eastAsia="Calibri"/>
          <w:b w:val="0"/>
          <w:i w:val="0"/>
          <w:sz w:val="21"/>
          <w:szCs w:val="21"/>
        </w:rPr>
        <w:t>Keep the report to five pages with an appendix for detail.</w:t>
      </w:r>
    </w:p>
    <w:p>
      <w:pPr>
        <w:pStyle w:val="ListBullet"/>
        <w:spacing w:after="40"/>
      </w:pPr>
      <w:r>
        <w:rPr>
          <w:rFonts w:ascii="Calibri" w:hAnsi="Calibri" w:cs="Calibri" w:eastAsia="Calibri"/>
          <w:b w:val="0"/>
          <w:i w:val="0"/>
          <w:sz w:val="21"/>
          <w:szCs w:val="21"/>
        </w:rPr>
        <w:t>Show trends over time, not snapshots.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Presenting technical metrics (blocked attacks) that boards cannot act on.</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GV.OV-01: Risk management strategy outcomes are reviewed to inform and adjust strategy and direction</w:t>
            </w:r>
          </w:p>
          <w:p>
            <w:r>
              <w:rPr>
                <w:rFonts w:ascii="Calibri" w:hAnsi="Calibri" w:cs="Calibri" w:eastAsia="Calibri"/>
                <w:b w:val="0"/>
                <w:i w:val="0"/>
                <w:sz w:val="18"/>
                <w:szCs w:val="18"/>
              </w:rPr>
              <w:t>GV.OV-03: Risk management performance is evaluated and reviewed for adjustments needed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Clause 9.1, Clause 9.3</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PM-6</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Common practice; NIST IR 8286 series</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GV-REG-008: Cybersecurity Metrics Catalog (KPI and KRI)</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GV-TPL-005  |  Board Cybersecurity Report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