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Internal Audit Report Template</w:t>
      </w:r>
    </w:p>
    <w:p>
      <w:pPr>
        <w:spacing w:after="80" w:before="0"/>
      </w:pPr>
      <w:r>
        <w:rPr>
          <w:rFonts w:ascii="Calibri" w:hAnsi="Calibri" w:cs="Calibri" w:eastAsia="Calibri"/>
          <w:b w:val="0"/>
          <w:i w:val="0"/>
          <w:color w:val="595959"/>
          <w:sz w:val="18"/>
          <w:szCs w:val="18"/>
        </w:rPr>
        <w:t>GV-TPL-006  |  Template  |  Oversight (GV.OV)</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GV-TPL-006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Internal Audit Report Template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Internal Audit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CMC Audit Committee</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25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25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Oversight (GV.OV)</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9.2.2 (audit results); CSA s.54 (summary report to NCSA within 30 days)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Legal and Regulatory,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4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Internal Audit Manager</w:t>
            </w:r>
          </w:p>
        </w:tc>
        <w:tc>
          <w:tcPr>
            <w:tcW w:type="dxa" w:w="1531"/>
          </w:tcPr>
          <w:p>
            <w:r/>
            <w:r>
              <w:rPr>
                <w:rFonts w:ascii="Calibri" w:hAnsi="Calibri" w:cs="Calibri" w:eastAsia="Calibri"/>
                <w:b w:val="0"/>
                <w:i w:val="0"/>
                <w:sz w:val="18"/>
                <w:szCs w:val="18"/>
              </w:rPr>
              <w:t>CMC Audit Committee</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25 August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Internal Audit Manager</w:t>
            </w:r>
          </w:p>
        </w:tc>
        <w:tc>
          <w:tcPr>
            <w:tcW w:type="dxa" w:w="1531"/>
          </w:tcPr>
          <w:p>
            <w:r/>
            <w:r>
              <w:rPr>
                <w:rFonts w:ascii="Calibri" w:hAnsi="Calibri" w:cs="Calibri" w:eastAsia="Calibri"/>
                <w:b w:val="0"/>
                <w:i w:val="0"/>
                <w:sz w:val="18"/>
                <w:szCs w:val="18"/>
              </w:rPr>
              <w:t>CMC Audit Committee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standardizes internal and CII audit reports so findings are clear, rated consistently, and traceable to corrective actions.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(GV-PRC-007) and covers the activities that document defines.</w:t>
      </w:r>
    </w:p>
    <w:p>
      <w:pPr>
        <w:pStyle w:val="Heading2"/>
        <w:keepNext/>
        <w:spacing w:before="120" w:after="80"/>
      </w:pPr>
      <w:r>
        <w:rPr>
          <w:rFonts w:ascii="Calibri" w:hAnsi="Calibri" w:cs="Calibri" w:eastAsia="Calibri"/>
          <w:b/>
          <w:i w:val="0"/>
          <w:color w:val="1F3864"/>
          <w:sz w:val="24"/>
          <w:szCs w:val="24"/>
          <w:bCs/>
        </w:rPr>
        <w:t>4.3 Report Sections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Include the minimum sections of an audit report.</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Executive summary: overall opinion and key findings.</w:t>
      </w:r>
    </w:p>
    <w:p>
      <w:pPr>
        <w:pStyle w:val="ListNumber"/>
        <w:spacing w:after="40"/>
      </w:pPr>
      <w:r>
        <w:rPr>
          <w:rFonts w:ascii="Calibri" w:hAnsi="Calibri" w:cs="Calibri" w:eastAsia="Calibri"/>
          <w:b w:val="0"/>
          <w:i w:val="0"/>
          <w:sz w:val="21"/>
          <w:szCs w:val="21"/>
        </w:rPr>
        <w:t>Scope, criteria, period, and method.</w:t>
      </w:r>
    </w:p>
    <w:p>
      <w:pPr>
        <w:pStyle w:val="ListNumber"/>
        <w:spacing w:after="40"/>
      </w:pPr>
      <w:r>
        <w:rPr>
          <w:rFonts w:ascii="Calibri" w:hAnsi="Calibri" w:cs="Calibri" w:eastAsia="Calibri"/>
          <w:b w:val="0"/>
          <w:i w:val="0"/>
          <w:sz w:val="21"/>
          <w:szCs w:val="21"/>
        </w:rPr>
        <w:t>Findings: condition, criteria, cause, effect (risk), recommendation, rating, management response, owner, and due date.</w:t>
      </w:r>
    </w:p>
    <w:p>
      <w:pPr>
        <w:pStyle w:val="ListNumber"/>
        <w:spacing w:after="40"/>
      </w:pPr>
      <w:r>
        <w:rPr>
          <w:rFonts w:ascii="Calibri" w:hAnsi="Calibri" w:cs="Calibri" w:eastAsia="Calibri"/>
          <w:b w:val="0"/>
          <w:i w:val="0"/>
          <w:sz w:val="21"/>
          <w:szCs w:val="21"/>
        </w:rPr>
        <w:t>Status of previous findings.</w:t>
      </w:r>
    </w:p>
    <w:p>
      <w:pPr>
        <w:pStyle w:val="ListNumber"/>
        <w:spacing w:after="40"/>
      </w:pPr>
      <w:r>
        <w:rPr>
          <w:rFonts w:ascii="Calibri" w:hAnsi="Calibri" w:cs="Calibri" w:eastAsia="Calibri"/>
          <w:b w:val="0"/>
          <w:i w:val="0"/>
          <w:sz w:val="21"/>
          <w:szCs w:val="21"/>
        </w:rPr>
        <w:t>Distribution list and approval.</w:t>
      </w:r>
    </w:p>
    <w:p>
      <w:pPr>
        <w:pStyle w:val="Heading2"/>
        <w:keepNext/>
        <w:spacing w:before="120" w:after="80"/>
      </w:pPr>
      <w:r>
        <w:rPr>
          <w:rFonts w:ascii="Calibri" w:hAnsi="Calibri" w:cs="Calibri" w:eastAsia="Calibri"/>
          <w:b/>
          <w:i w:val="0"/>
          <w:color w:val="1F3864"/>
          <w:sz w:val="24"/>
          <w:szCs w:val="24"/>
          <w:bCs/>
        </w:rPr>
        <w:t>4.4 Finding Format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Write each finding in a consistent structure.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6237"/>
      </w:tblGrid>
      <w:tr>
        <w:trPr>
          <w:tblHeader w:val="true"/>
        </w:trPr>
        <w:tc>
          <w:tcPr>
            <w:tcW w:type="dxa" w:w="3118"/>
            <w:shd w:val="clear" w:color="auto" w:fill="1F3864"/>
          </w:tcPr>
          <w:p>
            <w:r/>
            <w:r>
              <w:rPr>
                <w:rFonts w:ascii="Calibri" w:hAnsi="Calibri" w:cs="Calibri" w:eastAsia="Calibri"/>
                <w:b/>
                <w:i w:val="0"/>
                <w:color w:val="FFFFFF"/>
                <w:sz w:val="18"/>
                <w:szCs w:val="18"/>
                <w:bCs/>
              </w:rPr>
              <w:t>Element</w:t>
            </w:r>
          </w:p>
        </w:tc>
        <w:tc>
          <w:tcPr>
            <w:tcW w:type="dxa" w:w="6236"/>
            <w:shd w:val="clear" w:color="auto" w:fill="1F3864"/>
          </w:tcPr>
          <w:p>
            <w:r/>
            <w:r>
              <w:rPr>
                <w:rFonts w:ascii="Calibri" w:hAnsi="Calibri" w:cs="Calibri" w:eastAsia="Calibri"/>
                <w:b/>
                <w:i w:val="0"/>
                <w:color w:val="FFFFFF"/>
                <w:sz w:val="18"/>
                <w:szCs w:val="18"/>
                <w:bCs/>
              </w:rPr>
              <w:t>Example from IA-2025-04</w:t>
            </w:r>
          </w:p>
        </w:tc>
      </w:tr>
      <w:tr>
        <w:tc>
          <w:tcPr>
            <w:tcW w:type="dxa" w:w="3118"/>
          </w:tcPr>
          <w:p>
            <w:r/>
            <w:r>
              <w:rPr>
                <w:rFonts w:ascii="Calibri" w:hAnsi="Calibri" w:cs="Calibri" w:eastAsia="Calibri"/>
                <w:b w:val="0"/>
                <w:i w:val="0"/>
                <w:sz w:val="18"/>
                <w:szCs w:val="18"/>
              </w:rPr>
              <w:t>Finding ID and title</w:t>
            </w:r>
          </w:p>
        </w:tc>
        <w:tc>
          <w:tcPr>
            <w:tcW w:type="dxa" w:w="6236"/>
          </w:tcPr>
          <w:p>
            <w:r/>
            <w:r>
              <w:rPr>
                <w:rFonts w:ascii="Calibri" w:hAnsi="Calibri" w:cs="Calibri" w:eastAsia="Calibri"/>
                <w:b w:val="0"/>
                <w:i w:val="0"/>
                <w:sz w:val="18"/>
                <w:szCs w:val="18"/>
              </w:rPr>
              <w:t>IA-2025-04-02: HIS accounts of former staff remain active</w:t>
            </w:r>
          </w:p>
        </w:tc>
      </w:tr>
      <w:tr>
        <w:tc>
          <w:tcPr>
            <w:tcW w:type="dxa" w:w="3118"/>
          </w:tcPr>
          <w:p>
            <w:r/>
            <w:r>
              <w:rPr>
                <w:rFonts w:ascii="Calibri" w:hAnsi="Calibri" w:cs="Calibri" w:eastAsia="Calibri"/>
                <w:b w:val="0"/>
                <w:i w:val="0"/>
                <w:sz w:val="18"/>
                <w:szCs w:val="18"/>
              </w:rPr>
              <w:t>Condition</w:t>
            </w:r>
          </w:p>
        </w:tc>
        <w:tc>
          <w:tcPr>
            <w:tcW w:type="dxa" w:w="6236"/>
          </w:tcPr>
          <w:p>
            <w:r/>
            <w:r>
              <w:rPr>
                <w:rFonts w:ascii="Calibri" w:hAnsi="Calibri" w:cs="Calibri" w:eastAsia="Calibri"/>
                <w:b w:val="0"/>
                <w:i w:val="0"/>
                <w:sz w:val="18"/>
                <w:szCs w:val="18"/>
              </w:rPr>
              <w:t>38 of 1,410 active HIS accounts belonged to staff who left more than 30 days earlier.</w:t>
            </w:r>
          </w:p>
        </w:tc>
      </w:tr>
      <w:tr>
        <w:tc>
          <w:tcPr>
            <w:tcW w:type="dxa" w:w="3118"/>
          </w:tcPr>
          <w:p>
            <w:r/>
            <w:r>
              <w:rPr>
                <w:rFonts w:ascii="Calibri" w:hAnsi="Calibri" w:cs="Calibri" w:eastAsia="Calibri"/>
                <w:b w:val="0"/>
                <w:i w:val="0"/>
                <w:sz w:val="18"/>
                <w:szCs w:val="18"/>
              </w:rPr>
              <w:t>Criteria</w:t>
            </w:r>
          </w:p>
        </w:tc>
        <w:tc>
          <w:tcPr>
            <w:tcW w:type="dxa" w:w="6236"/>
          </w:tcPr>
          <w:p>
            <w:r/>
            <w:r>
              <w:rPr>
                <w:rFonts w:ascii="Calibri" w:hAnsi="Calibri" w:cs="Calibri" w:eastAsia="Calibri"/>
                <w:b w:val="0"/>
                <w:i w:val="0"/>
                <w:sz w:val="18"/>
                <w:szCs w:val="18"/>
              </w:rPr>
              <w:t>GV-STD-001 HR-05 requires accounts to be disabled on the last working day.</w:t>
            </w:r>
          </w:p>
        </w:tc>
      </w:tr>
      <w:tr>
        <w:tc>
          <w:tcPr>
            <w:tcW w:type="dxa" w:w="3118"/>
          </w:tcPr>
          <w:p>
            <w:r/>
            <w:r>
              <w:rPr>
                <w:rFonts w:ascii="Calibri" w:hAnsi="Calibri" w:cs="Calibri" w:eastAsia="Calibri"/>
                <w:b w:val="0"/>
                <w:i w:val="0"/>
                <w:sz w:val="18"/>
                <w:szCs w:val="18"/>
              </w:rPr>
              <w:t>Cause</w:t>
            </w:r>
          </w:p>
        </w:tc>
        <w:tc>
          <w:tcPr>
            <w:tcW w:type="dxa" w:w="6236"/>
          </w:tcPr>
          <w:p>
            <w:r/>
            <w:r>
              <w:rPr>
                <w:rFonts w:ascii="Calibri" w:hAnsi="Calibri" w:cs="Calibri" w:eastAsia="Calibri"/>
                <w:b w:val="0"/>
                <w:i w:val="0"/>
                <w:sz w:val="18"/>
                <w:szCs w:val="18"/>
              </w:rPr>
              <w:t>HR leaver list was emailed monthly; no automated trigger to HIS.</w:t>
            </w:r>
          </w:p>
        </w:tc>
      </w:tr>
      <w:tr>
        <w:tc>
          <w:tcPr>
            <w:tcW w:type="dxa" w:w="3118"/>
          </w:tcPr>
          <w:p>
            <w:r/>
            <w:r>
              <w:rPr>
                <w:rFonts w:ascii="Calibri" w:hAnsi="Calibri" w:cs="Calibri" w:eastAsia="Calibri"/>
                <w:b w:val="0"/>
                <w:i w:val="0"/>
                <w:sz w:val="18"/>
                <w:szCs w:val="18"/>
              </w:rPr>
              <w:t>Effect</w:t>
            </w:r>
          </w:p>
        </w:tc>
        <w:tc>
          <w:tcPr>
            <w:tcW w:type="dxa" w:w="6236"/>
          </w:tcPr>
          <w:p>
            <w:r/>
            <w:r>
              <w:rPr>
                <w:rFonts w:ascii="Calibri" w:hAnsi="Calibri" w:cs="Calibri" w:eastAsia="Calibri"/>
                <w:b w:val="0"/>
                <w:i w:val="0"/>
                <w:sz w:val="18"/>
                <w:szCs w:val="18"/>
              </w:rPr>
              <w:t>Former staff could access patient records, creating a notifiable breach risk under PDPA.</w:t>
            </w:r>
          </w:p>
        </w:tc>
      </w:tr>
      <w:tr>
        <w:tc>
          <w:tcPr>
            <w:tcW w:type="dxa" w:w="3118"/>
          </w:tcPr>
          <w:p>
            <w:r/>
            <w:r>
              <w:rPr>
                <w:rFonts w:ascii="Calibri" w:hAnsi="Calibri" w:cs="Calibri" w:eastAsia="Calibri"/>
                <w:b w:val="0"/>
                <w:i w:val="0"/>
                <w:sz w:val="18"/>
                <w:szCs w:val="18"/>
              </w:rPr>
              <w:t>Rating</w:t>
            </w:r>
          </w:p>
        </w:tc>
        <w:tc>
          <w:tcPr>
            <w:tcW w:type="dxa" w:w="6236"/>
          </w:tcPr>
          <w:p>
            <w:r/>
            <w:r>
              <w:rPr>
                <w:rFonts w:ascii="Calibri" w:hAnsi="Calibri" w:cs="Calibri" w:eastAsia="Calibri"/>
                <w:b w:val="0"/>
                <w:i w:val="0"/>
                <w:sz w:val="18"/>
                <w:szCs w:val="18"/>
              </w:rPr>
              <w:t>High</w:t>
            </w:r>
          </w:p>
        </w:tc>
      </w:tr>
      <w:tr>
        <w:tc>
          <w:tcPr>
            <w:tcW w:type="dxa" w:w="3118"/>
          </w:tcPr>
          <w:p>
            <w:r/>
            <w:r>
              <w:rPr>
                <w:rFonts w:ascii="Calibri" w:hAnsi="Calibri" w:cs="Calibri" w:eastAsia="Calibri"/>
                <w:b w:val="0"/>
                <w:i w:val="0"/>
                <w:sz w:val="18"/>
                <w:szCs w:val="18"/>
              </w:rPr>
              <w:t>Recommendation</w:t>
            </w:r>
          </w:p>
        </w:tc>
        <w:tc>
          <w:tcPr>
            <w:tcW w:type="dxa" w:w="6236"/>
          </w:tcPr>
          <w:p>
            <w:r/>
            <w:r>
              <w:rPr>
                <w:rFonts w:ascii="Calibri" w:hAnsi="Calibri" w:cs="Calibri" w:eastAsia="Calibri"/>
                <w:b w:val="0"/>
                <w:i w:val="0"/>
                <w:sz w:val="18"/>
                <w:szCs w:val="18"/>
              </w:rPr>
              <w:t>Automate HR-to-HIS deprovisioning and reconcile monthly until automated.</w:t>
            </w:r>
          </w:p>
        </w:tc>
      </w:tr>
      <w:tr>
        <w:tc>
          <w:tcPr>
            <w:tcW w:type="dxa" w:w="3118"/>
          </w:tcPr>
          <w:p>
            <w:r/>
            <w:r>
              <w:rPr>
                <w:rFonts w:ascii="Calibri" w:hAnsi="Calibri" w:cs="Calibri" w:eastAsia="Calibri"/>
                <w:b w:val="0"/>
                <w:i w:val="0"/>
                <w:sz w:val="18"/>
                <w:szCs w:val="18"/>
              </w:rPr>
              <w:t>Management response</w:t>
            </w:r>
          </w:p>
        </w:tc>
        <w:tc>
          <w:tcPr>
            <w:tcW w:type="dxa" w:w="6236"/>
          </w:tcPr>
          <w:p>
            <w:r/>
            <w:r>
              <w:rPr>
                <w:rFonts w:ascii="Calibri" w:hAnsi="Calibri" w:cs="Calibri" w:eastAsia="Calibri"/>
                <w:b w:val="0"/>
                <w:i w:val="0"/>
                <w:sz w:val="18"/>
                <w:szCs w:val="18"/>
              </w:rPr>
              <w:t>Agreed. CIO; automation live 30 April 2026; monthly reconciliation from December 2025.</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Write findings so a reader outside IT understands the business risk.</w:t>
      </w:r>
    </w:p>
    <w:p>
      <w:pPr>
        <w:pStyle w:val="ListBullet"/>
        <w:spacing w:after="40"/>
      </w:pPr>
      <w:r>
        <w:rPr>
          <w:rFonts w:ascii="Calibri" w:hAnsi="Calibri" w:cs="Calibri" w:eastAsia="Calibri"/>
          <w:b w:val="0"/>
          <w:i w:val="0"/>
          <w:sz w:val="21"/>
          <w:szCs w:val="21"/>
        </w:rPr>
        <w:t>Agree facts with auditees before issuing, to avoid disputes later.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Findings describe symptoms without root cause, so the same issue returns.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GV.OV-02: Risk management strategy is reviewed and adjusted to ensure coverage of requirements and risks</w:t>
            </w:r>
          </w:p>
          <w:p>
            <w:r>
              <w:rPr>
                <w:rFonts w:ascii="Calibri" w:hAnsi="Calibri" w:cs="Calibri" w:eastAsia="Calibri"/>
                <w:b w:val="0"/>
                <w:i w:val="0"/>
                <w:sz w:val="18"/>
                <w:szCs w:val="18"/>
              </w:rPr>
              <w:t>ID.IM-01: Improvements are identified from evaluations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9.2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CA-2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9.2.2 (audit results); CSA s.54 (summary report to NCSA within 30 days)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GV-PRC-007: Internal Audit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GV-TPL-006  |  Internal Audit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