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Policy Exception Request Form</w:t>
      </w:r>
    </w:p>
    <w:p>
      <w:pPr>
        <w:spacing w:after="80" w:before="0"/>
      </w:pPr>
      <w:r>
        <w:rPr>
          <w:rFonts w:ascii="Calibri" w:hAnsi="Calibri" w:cs="Calibri" w:eastAsia="Calibri"/>
          <w:b w:val="0"/>
          <w:i w:val="0"/>
          <w:color w:val="595959"/>
          <w:sz w:val="18"/>
          <w:szCs w:val="18"/>
        </w:rPr>
        <w:t>GV-FRM-004  |  Form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GV-FRM-004</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Policy Exception Request Form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16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16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5.36</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13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16 March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captures the information needed to assess and approve a temporary exception to a security policy or standard.</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(GV-PRC-003)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Request ID</w:t>
            </w:r>
          </w:p>
        </w:tc>
        <w:tc>
          <w:tcPr>
            <w:tcW w:type="dxa" w:w="3628"/>
          </w:tcPr>
          <w:p>
            <w:r/>
            <w:r>
              <w:rPr>
                <w:rFonts w:ascii="Calibri" w:hAnsi="Calibri" w:cs="Calibri" w:eastAsia="Calibri"/>
                <w:b w:val="0"/>
                <w:i w:val="0"/>
                <w:sz w:val="18"/>
                <w:szCs w:val="18"/>
              </w:rPr>
              <w:t>Unique ID assigned by the security team.</w:t>
            </w:r>
          </w:p>
        </w:tc>
        <w:tc>
          <w:tcPr>
            <w:tcW w:type="dxa" w:w="2835"/>
          </w:tcPr>
          <w:p>
            <w:r/>
            <w:r>
              <w:rPr>
                <w:rFonts w:ascii="Calibri" w:hAnsi="Calibri" w:cs="Calibri" w:eastAsia="Calibri"/>
                <w:b w:val="0"/>
                <w:i w:val="0"/>
                <w:sz w:val="18"/>
                <w:szCs w:val="18"/>
              </w:rPr>
              <w:t>EXC-2026-007</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Requester and unit</w:t>
            </w:r>
          </w:p>
        </w:tc>
        <w:tc>
          <w:tcPr>
            <w:tcW w:type="dxa" w:w="3628"/>
          </w:tcPr>
          <w:p>
            <w:r/>
            <w:r>
              <w:rPr>
                <w:rFonts w:ascii="Calibri" w:hAnsi="Calibri" w:cs="Calibri" w:eastAsia="Calibri"/>
                <w:b w:val="0"/>
                <w:i w:val="0"/>
                <w:sz w:val="18"/>
                <w:szCs w:val="18"/>
              </w:rPr>
              <w:t>Name, position, and department of the requester.</w:t>
            </w:r>
          </w:p>
        </w:tc>
        <w:tc>
          <w:tcPr>
            <w:tcW w:type="dxa" w:w="2835"/>
          </w:tcPr>
          <w:p>
            <w:r/>
            <w:r>
              <w:rPr>
                <w:rFonts w:ascii="Calibri" w:hAnsi="Calibri" w:cs="Calibri" w:eastAsia="Calibri"/>
                <w:b w:val="0"/>
                <w:i w:val="0"/>
                <w:sz w:val="18"/>
                <w:szCs w:val="18"/>
              </w:rPr>
              <w:t>Radiology Department, PACS System Owner</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Policy or standard affected</w:t>
            </w:r>
          </w:p>
        </w:tc>
        <w:tc>
          <w:tcPr>
            <w:tcW w:type="dxa" w:w="3628"/>
          </w:tcPr>
          <w:p>
            <w:r/>
            <w:r>
              <w:rPr>
                <w:rFonts w:ascii="Calibri" w:hAnsi="Calibri" w:cs="Calibri" w:eastAsia="Calibri"/>
                <w:b w:val="0"/>
                <w:i w:val="0"/>
                <w:sz w:val="18"/>
                <w:szCs w:val="18"/>
              </w:rPr>
              <w:t>Document ID and clause that cannot be met.</w:t>
            </w:r>
          </w:p>
        </w:tc>
        <w:tc>
          <w:tcPr>
            <w:tcW w:type="dxa" w:w="2835"/>
          </w:tcPr>
          <w:p>
            <w:r/>
            <w:r>
              <w:rPr>
                <w:rFonts w:ascii="Calibri" w:hAnsi="Calibri" w:cs="Calibri" w:eastAsia="Calibri"/>
                <w:b w:val="0"/>
                <w:i w:val="0"/>
                <w:sz w:val="18"/>
                <w:szCs w:val="18"/>
              </w:rPr>
              <w:t>PR-STD-012 Endpoint Protection Standard, clause on EDR coverage</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Systems or assets affected</w:t>
            </w:r>
          </w:p>
        </w:tc>
        <w:tc>
          <w:tcPr>
            <w:tcW w:type="dxa" w:w="3628"/>
          </w:tcPr>
          <w:p>
            <w:r/>
            <w:r>
              <w:rPr>
                <w:rFonts w:ascii="Calibri" w:hAnsi="Calibri" w:cs="Calibri" w:eastAsia="Calibri"/>
                <w:b w:val="0"/>
                <w:i w:val="0"/>
                <w:sz w:val="18"/>
                <w:szCs w:val="18"/>
              </w:rPr>
              <w:t>Asset IDs from the inventory.</w:t>
            </w:r>
          </w:p>
        </w:tc>
        <w:tc>
          <w:tcPr>
            <w:tcW w:type="dxa" w:w="2835"/>
          </w:tcPr>
          <w:p>
            <w:r/>
            <w:r>
              <w:rPr>
                <w:rFonts w:ascii="Calibri" w:hAnsi="Calibri" w:cs="Calibri" w:eastAsia="Calibri"/>
                <w:b w:val="0"/>
                <w:i w:val="0"/>
                <w:sz w:val="18"/>
                <w:szCs w:val="18"/>
              </w:rPr>
              <w:t>CT-02 and MRI-01 modality workstations (MED-IMG-002, MED-IMG-005)</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Business justification</w:t>
            </w:r>
          </w:p>
        </w:tc>
        <w:tc>
          <w:tcPr>
            <w:tcW w:type="dxa" w:w="3628"/>
          </w:tcPr>
          <w:p>
            <w:r/>
            <w:r>
              <w:rPr>
                <w:rFonts w:ascii="Calibri" w:hAnsi="Calibri" w:cs="Calibri" w:eastAsia="Calibri"/>
                <w:b w:val="0"/>
                <w:i w:val="0"/>
                <w:sz w:val="18"/>
                <w:szCs w:val="18"/>
              </w:rPr>
              <w:t>Why the control cannot be applied now.</w:t>
            </w:r>
          </w:p>
        </w:tc>
        <w:tc>
          <w:tcPr>
            <w:tcW w:type="dxa" w:w="2835"/>
          </w:tcPr>
          <w:p>
            <w:r/>
            <w:r>
              <w:rPr>
                <w:rFonts w:ascii="Calibri" w:hAnsi="Calibri" w:cs="Calibri" w:eastAsia="Calibri"/>
                <w:b w:val="0"/>
                <w:i w:val="0"/>
                <w:sz w:val="18"/>
                <w:szCs w:val="18"/>
              </w:rPr>
              <w:t>Vendor B does not certify EDR agents on modality workstations; installing EDR voids the device warranty.</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Risk if the exception is granted</w:t>
            </w:r>
          </w:p>
        </w:tc>
        <w:tc>
          <w:tcPr>
            <w:tcW w:type="dxa" w:w="3628"/>
          </w:tcPr>
          <w:p>
            <w:r/>
            <w:r>
              <w:rPr>
                <w:rFonts w:ascii="Calibri" w:hAnsi="Calibri" w:cs="Calibri" w:eastAsia="Calibri"/>
                <w:b w:val="0"/>
                <w:i w:val="0"/>
                <w:sz w:val="18"/>
                <w:szCs w:val="18"/>
              </w:rPr>
              <w:t>Threat, impact, and likelihood in plain language.</w:t>
            </w:r>
          </w:p>
        </w:tc>
        <w:tc>
          <w:tcPr>
            <w:tcW w:type="dxa" w:w="2835"/>
          </w:tcPr>
          <w:p>
            <w:r/>
            <w:r>
              <w:rPr>
                <w:rFonts w:ascii="Calibri" w:hAnsi="Calibri" w:cs="Calibri" w:eastAsia="Calibri"/>
                <w:b w:val="0"/>
                <w:i w:val="0"/>
                <w:sz w:val="18"/>
                <w:szCs w:val="18"/>
              </w:rPr>
              <w:t>Malware on a modality workstation could stop imaging and spread to PACS. Likelihood: Possible. Impact: Major.</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Compensating controls</w:t>
            </w:r>
          </w:p>
        </w:tc>
        <w:tc>
          <w:tcPr>
            <w:tcW w:type="dxa" w:w="3628"/>
          </w:tcPr>
          <w:p>
            <w:r/>
            <w:r>
              <w:rPr>
                <w:rFonts w:ascii="Calibri" w:hAnsi="Calibri" w:cs="Calibri" w:eastAsia="Calibri"/>
                <w:b w:val="0"/>
                <w:i w:val="0"/>
                <w:sz w:val="18"/>
                <w:szCs w:val="18"/>
              </w:rPr>
              <w:t>Controls that reduce the risk during the exception period.</w:t>
            </w:r>
          </w:p>
        </w:tc>
        <w:tc>
          <w:tcPr>
            <w:tcW w:type="dxa" w:w="2835"/>
          </w:tcPr>
          <w:p>
            <w:r/>
            <w:r>
              <w:rPr>
                <w:rFonts w:ascii="Calibri" w:hAnsi="Calibri" w:cs="Calibri" w:eastAsia="Calibri"/>
                <w:b w:val="0"/>
                <w:i w:val="0"/>
                <w:sz w:val="18"/>
                <w:szCs w:val="18"/>
              </w:rPr>
              <w:t>Workstations moved to the isolated medical device VLAN; only PACS DICOM ports allowed; USB ports disabled; network detection monitoring by the MSSP.</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Residual risk rating</w:t>
            </w:r>
          </w:p>
        </w:tc>
        <w:tc>
          <w:tcPr>
            <w:tcW w:type="dxa" w:w="3628"/>
          </w:tcPr>
          <w:p>
            <w:r/>
            <w:r>
              <w:rPr>
                <w:rFonts w:ascii="Calibri" w:hAnsi="Calibri" w:cs="Calibri" w:eastAsia="Calibri"/>
                <w:b w:val="0"/>
                <w:i w:val="0"/>
                <w:sz w:val="18"/>
                <w:szCs w:val="18"/>
              </w:rPr>
              <w:t>Rating per GV-PRC-001 (Low, Medium, High, Critical), completed by the security team.</w:t>
            </w:r>
          </w:p>
        </w:tc>
        <w:tc>
          <w:tcPr>
            <w:tcW w:type="dxa" w:w="2835"/>
          </w:tcPr>
          <w:p>
            <w:r/>
            <w:r>
              <w:rPr>
                <w:rFonts w:ascii="Calibri" w:hAnsi="Calibri" w:cs="Calibri" w:eastAsia="Calibri"/>
                <w:b w:val="0"/>
                <w:i w:val="0"/>
                <w:sz w:val="18"/>
                <w:szCs w:val="18"/>
              </w:rPr>
              <w:t>Medium (score 9)</w:t>
            </w:r>
          </w:p>
        </w:tc>
      </w:tr>
      <w:tr>
        <w:tc>
          <w:tcPr>
            <w:tcW w:type="dxa" w:w="624"/>
          </w:tcPr>
          <w:p>
            <w:r/>
            <w:r>
              <w:rPr>
                <w:rFonts w:ascii="Calibri" w:hAnsi="Calibri" w:cs="Calibri" w:eastAsia="Calibri"/>
                <w:b w:val="0"/>
                <w:i w:val="0"/>
                <w:sz w:val="18"/>
                <w:szCs w:val="18"/>
              </w:rPr>
              <w:t>9</w:t>
            </w:r>
          </w:p>
        </w:tc>
        <w:tc>
          <w:tcPr>
            <w:tcW w:type="dxa" w:w="2268"/>
          </w:tcPr>
          <w:p>
            <w:r/>
            <w:r>
              <w:rPr>
                <w:rFonts w:ascii="Calibri" w:hAnsi="Calibri" w:cs="Calibri" w:eastAsia="Calibri"/>
                <w:b w:val="0"/>
                <w:i w:val="0"/>
                <w:sz w:val="18"/>
                <w:szCs w:val="18"/>
              </w:rPr>
              <w:t>Requested start and expiry date</w:t>
            </w:r>
          </w:p>
        </w:tc>
        <w:tc>
          <w:tcPr>
            <w:tcW w:type="dxa" w:w="3628"/>
          </w:tcPr>
          <w:p>
            <w:r/>
            <w:r>
              <w:rPr>
                <w:rFonts w:ascii="Calibri" w:hAnsi="Calibri" w:cs="Calibri" w:eastAsia="Calibri"/>
                <w:b w:val="0"/>
                <w:i w:val="0"/>
                <w:sz w:val="18"/>
                <w:szCs w:val="18"/>
              </w:rPr>
              <w:t>Maximum 12 months.</w:t>
            </w:r>
          </w:p>
        </w:tc>
        <w:tc>
          <w:tcPr>
            <w:tcW w:type="dxa" w:w="2835"/>
          </w:tcPr>
          <w:p>
            <w:r/>
            <w:r>
              <w:rPr>
                <w:rFonts w:ascii="Calibri" w:hAnsi="Calibri" w:cs="Calibri" w:eastAsia="Calibri"/>
                <w:b w:val="0"/>
                <w:i w:val="0"/>
                <w:sz w:val="18"/>
                <w:szCs w:val="18"/>
              </w:rPr>
              <w:t>1 April 2026 to 31 March 2027</w:t>
            </w:r>
          </w:p>
        </w:tc>
      </w:tr>
      <w:tr>
        <w:tc>
          <w:tcPr>
            <w:tcW w:type="dxa" w:w="624"/>
          </w:tcPr>
          <w:p>
            <w:r/>
            <w:r>
              <w:rPr>
                <w:rFonts w:ascii="Calibri" w:hAnsi="Calibri" w:cs="Calibri" w:eastAsia="Calibri"/>
                <w:b w:val="0"/>
                <w:i w:val="0"/>
                <w:sz w:val="18"/>
                <w:szCs w:val="18"/>
              </w:rPr>
              <w:t>10</w:t>
            </w:r>
          </w:p>
        </w:tc>
        <w:tc>
          <w:tcPr>
            <w:tcW w:type="dxa" w:w="2268"/>
          </w:tcPr>
          <w:p>
            <w:r/>
            <w:r>
              <w:rPr>
                <w:rFonts w:ascii="Calibri" w:hAnsi="Calibri" w:cs="Calibri" w:eastAsia="Calibri"/>
                <w:b w:val="0"/>
                <w:i w:val="0"/>
                <w:sz w:val="18"/>
                <w:szCs w:val="18"/>
              </w:rPr>
              <w:t>Remediation plan</w:t>
            </w:r>
          </w:p>
        </w:tc>
        <w:tc>
          <w:tcPr>
            <w:tcW w:type="dxa" w:w="3628"/>
          </w:tcPr>
          <w:p>
            <w:r/>
            <w:r>
              <w:rPr>
                <w:rFonts w:ascii="Calibri" w:hAnsi="Calibri" w:cs="Calibri" w:eastAsia="Calibri"/>
                <w:b w:val="0"/>
                <w:i w:val="0"/>
                <w:sz w:val="18"/>
                <w:szCs w:val="18"/>
              </w:rPr>
              <w:t>How and when the control will be fully applied.</w:t>
            </w:r>
          </w:p>
        </w:tc>
        <w:tc>
          <w:tcPr>
            <w:tcW w:type="dxa" w:w="2835"/>
          </w:tcPr>
          <w:p>
            <w:r/>
            <w:r>
              <w:rPr>
                <w:rFonts w:ascii="Calibri" w:hAnsi="Calibri" w:cs="Calibri" w:eastAsia="Calibri"/>
                <w:b w:val="0"/>
                <w:i w:val="0"/>
                <w:sz w:val="18"/>
                <w:szCs w:val="18"/>
              </w:rPr>
              <w:t>Vendor B committed to certify a supported EDR agent in Q1 2027; CMC will deploy within 30 days of certification.</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Requester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System Owner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Security Manager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Chief Information Officer (CIO)</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Make the form electronic so it routes automatically to the correct approver based on risk rating.</w:t>
      </w:r>
    </w:p>
    <w:p>
      <w:pPr>
        <w:pStyle w:val="ListBullet"/>
        <w:spacing w:after="40"/>
      </w:pPr>
      <w:r>
        <w:rPr>
          <w:rFonts w:ascii="Calibri" w:hAnsi="Calibri" w:cs="Calibri" w:eastAsia="Calibri"/>
          <w:b w:val="0"/>
          <w:i w:val="0"/>
          <w:sz w:val="21"/>
          <w:szCs w:val="21"/>
        </w:rPr>
        <w:t>Reject requests that have no compensating controls or no remediation date.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The requester rates their own risk as Low without security review.</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ID.RA-07: Changes and exceptions are managed, assessed for risk impact, recorded, and tracked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RA-7</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5.36</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GV-PRC-003: Policy Exception Management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GV-FRM-004  |  Policy Exception Request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