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Information Security Policy</w:t>
      </w:r>
    </w:p>
    <w:p>
      <w:pPr>
        <w:spacing w:after="80" w:before="0"/>
      </w:pPr>
      <w:r>
        <w:rPr>
          <w:rFonts w:ascii="Calibri" w:hAnsi="Calibri" w:cs="Calibri" w:eastAsia="Calibri"/>
          <w:b w:val="0"/>
          <w:i w:val="0"/>
          <w:color w:val="595959"/>
          <w:sz w:val="18"/>
          <w:szCs w:val="18"/>
        </w:rPr>
        <w:t>GV-POL-001  |  Policy  |  Policy (GV.PO)</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GV-POL-001</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Information Security Policy</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Executive Officer (CEO)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15 September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15 September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1: Policy</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Policy</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Policy (GV.PO)</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Required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ISO 27001</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Clause 5.2 (documented information); PDPC Notification on Security Measures B.E. 2565</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Governance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5 June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Executive Officer (CEO)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15 September 2026</w:t>
            </w:r>
          </w:p>
        </w:tc>
        <w:tc>
          <w:tcPr>
            <w:tcW w:type="dxa" w:w="3742"/>
          </w:tcPr>
          <w:p>
            <w:r/>
            <w:r>
              <w:rPr>
                <w:rFonts w:ascii="Calibri" w:hAnsi="Calibri" w:cs="Calibri" w:eastAsia="Calibri"/>
                <w:b w:val="0"/>
                <w:i w:val="0"/>
                <w:sz w:val="18"/>
                <w:szCs w:val="18"/>
              </w:rPr>
              <w:t>Updated after the 2026 Management Review (MR-2026-01) to add the Generative AI Acceptable Use Policy to the policy framework and to align objectives with the 2026 targets.</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Executive Officer (CEO)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policy sets the direction and principles for protecting the confidentiality, integrity, and availability of Chaophraya Medical Center (CMC) information and systems, and it commits management to meeting legal, regulatory, and contractual requirements.</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policy applies to all employees, contractors, temporary staff, and third parties who access Chaophraya Medical Center (CMC) information or information systems, at all sites, including cloud services operated on behalf of Chaophraya Medical Center (CMC).</w:t>
      </w:r>
    </w:p>
    <w:p>
      <w:pPr>
        <w:pStyle w:val="Heading2"/>
        <w:keepNext/>
        <w:spacing w:before="120" w:after="80"/>
      </w:pPr>
      <w:r>
        <w:rPr>
          <w:rFonts w:ascii="Calibri" w:hAnsi="Calibri" w:cs="Calibri" w:eastAsia="Calibri"/>
          <w:b/>
          <w:i w:val="0"/>
          <w:color w:val="1F3864"/>
          <w:sz w:val="24"/>
          <w:szCs w:val="24"/>
          <w:bCs/>
        </w:rPr>
        <w:t>4.3 Management Commitment</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top management's commitment to information security, to meeting applicable requirements, and to continual improvement (ISO/IEC 27001:2022 Clause 5.2).</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The CEO and the management team commit to protecting patient safety and patient data as the first priority of the security program.</w:t>
      </w:r>
    </w:p>
    <w:p>
      <w:pPr>
        <w:pStyle w:val="ListBullet"/>
        <w:spacing w:after="40"/>
      </w:pPr>
      <w:r>
        <w:rPr>
          <w:rFonts w:ascii="Calibri" w:hAnsi="Calibri" w:cs="Calibri" w:eastAsia="Calibri"/>
          <w:b w:val="0"/>
          <w:i w:val="0"/>
          <w:sz w:val="21"/>
          <w:szCs w:val="21"/>
        </w:rPr>
        <w:t>CMC commits to meet the PDPA (including PDPA s.26 on health data), the Cybersecurity Act B.E. 2562 as a CII organization, the Computer Crime Act B.E. 2550, and Hospital Accreditation (HA) requirements.</w:t>
      </w:r>
    </w:p>
    <w:p>
      <w:pPr>
        <w:pStyle w:val="ListBullet"/>
        <w:spacing w:after="40"/>
      </w:pPr>
      <w:r>
        <w:rPr>
          <w:rFonts w:ascii="Calibri" w:hAnsi="Calibri" w:cs="Calibri" w:eastAsia="Calibri"/>
          <w:b w:val="0"/>
          <w:i w:val="0"/>
          <w:sz w:val="21"/>
          <w:szCs w:val="21"/>
        </w:rPr>
        <w:t>CMC commits to fund the three-year security roadmap approved by the Board in 2025 and to review the ISMS at least once a year.</w:t>
      </w:r>
    </w:p>
    <w:p>
      <w:pPr>
        <w:pStyle w:val="Heading2"/>
        <w:keepNext/>
        <w:spacing w:before="120" w:after="80"/>
      </w:pPr>
      <w:r>
        <w:rPr>
          <w:rFonts w:ascii="Calibri" w:hAnsi="Calibri" w:cs="Calibri" w:eastAsia="Calibri"/>
          <w:b/>
          <w:i w:val="0"/>
          <w:color w:val="1F3864"/>
          <w:sz w:val="24"/>
          <w:szCs w:val="24"/>
          <w:bCs/>
        </w:rPr>
        <w:t>4.4 Information Security Objectives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Set measurable objectives or state where they are defined, consistent with this policy (ISO/IEC 27001:2022 Clause 6.2).</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Keep HIS, PACS, and LIS downtime from security events within the recovery time objectives in the Business Impact Analysis (ID-RPT-002): 4 hours for HIS and 8 hours for PACS and LIS.</w:t>
      </w:r>
    </w:p>
    <w:p>
      <w:pPr>
        <w:pStyle w:val="ListBullet"/>
        <w:spacing w:after="40"/>
      </w:pPr>
      <w:r>
        <w:rPr>
          <w:rFonts w:ascii="Calibri" w:hAnsi="Calibri" w:cs="Calibri" w:eastAsia="Calibri"/>
          <w:b w:val="0"/>
          <w:i w:val="0"/>
          <w:sz w:val="21"/>
          <w:szCs w:val="21"/>
        </w:rPr>
        <w:t>Report zero unnotified personal data breaches to the Personal Data Protection Committee (PDPC).</w:t>
      </w:r>
    </w:p>
    <w:p>
      <w:pPr>
        <w:pStyle w:val="ListBullet"/>
        <w:spacing w:after="40"/>
      </w:pPr>
      <w:r>
        <w:rPr>
          <w:rFonts w:ascii="Calibri" w:hAnsi="Calibri" w:cs="Calibri" w:eastAsia="Calibri"/>
          <w:b w:val="0"/>
          <w:i w:val="0"/>
          <w:sz w:val="21"/>
          <w:szCs w:val="21"/>
        </w:rPr>
        <w:t>Report significant cyber incidents to the National Cyber Security Agency (NCSA) and the sector regulator within the required timeframe.</w:t>
      </w:r>
    </w:p>
    <w:p>
      <w:pPr>
        <w:pStyle w:val="ListBullet"/>
        <w:spacing w:after="40"/>
      </w:pPr>
      <w:r>
        <w:rPr>
          <w:rFonts w:ascii="Calibri" w:hAnsi="Calibri" w:cs="Calibri" w:eastAsia="Calibri"/>
          <w:b w:val="0"/>
          <w:i w:val="0"/>
          <w:sz w:val="21"/>
          <w:szCs w:val="21"/>
        </w:rPr>
        <w:t>Detailed 2026 targets are set in GV-STR-001 and reported quarterly to the ISSC.</w:t>
      </w:r>
    </w:p>
    <w:p>
      <w:pPr>
        <w:pStyle w:val="Heading2"/>
        <w:keepNext/>
        <w:spacing w:before="120" w:after="80"/>
      </w:pPr>
      <w:r>
        <w:rPr>
          <w:rFonts w:ascii="Calibri" w:hAnsi="Calibri" w:cs="Calibri" w:eastAsia="Calibri"/>
          <w:b/>
          <w:i w:val="0"/>
          <w:color w:val="1F3864"/>
          <w:sz w:val="24"/>
          <w:szCs w:val="24"/>
          <w:bCs/>
        </w:rPr>
        <w:t>4.5 Policy Principles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the core security principles that all subordinate policies, standards, and procedures must follow.</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2268"/>
        <w:gridCol w:w="7087"/>
      </w:tblGrid>
      <w:tr>
        <w:trPr>
          <w:tblHeader w:val="true"/>
        </w:trPr>
        <w:tc>
          <w:tcPr>
            <w:tcW w:type="dxa" w:w="2268"/>
            <w:shd w:val="clear" w:color="auto" w:fill="1F3864"/>
          </w:tcPr>
          <w:p>
            <w:r/>
            <w:r>
              <w:rPr>
                <w:rFonts w:ascii="Calibri" w:hAnsi="Calibri" w:cs="Calibri" w:eastAsia="Calibri"/>
                <w:b/>
                <w:i w:val="0"/>
                <w:color w:val="FFFFFF"/>
                <w:sz w:val="18"/>
                <w:szCs w:val="18"/>
                <w:bCs/>
              </w:rPr>
              <w:t>Principle</w:t>
            </w:r>
          </w:p>
        </w:tc>
        <w:tc>
          <w:tcPr>
            <w:tcW w:type="dxa" w:w="7087"/>
            <w:shd w:val="clear" w:color="auto" w:fill="1F3864"/>
          </w:tcPr>
          <w:p>
            <w:r/>
            <w:r>
              <w:rPr>
                <w:rFonts w:ascii="Calibri" w:hAnsi="Calibri" w:cs="Calibri" w:eastAsia="Calibri"/>
                <w:b/>
                <w:i w:val="0"/>
                <w:color w:val="FFFFFF"/>
                <w:sz w:val="18"/>
                <w:szCs w:val="18"/>
                <w:bCs/>
              </w:rPr>
              <w:t>Statement</w:t>
            </w:r>
          </w:p>
        </w:tc>
      </w:tr>
      <w:tr>
        <w:tc>
          <w:tcPr>
            <w:tcW w:type="dxa" w:w="2268"/>
          </w:tcPr>
          <w:p>
            <w:r/>
            <w:r>
              <w:rPr>
                <w:rFonts w:ascii="Calibri" w:hAnsi="Calibri" w:cs="Calibri" w:eastAsia="Calibri"/>
                <w:b w:val="0"/>
                <w:i w:val="0"/>
                <w:sz w:val="18"/>
                <w:szCs w:val="18"/>
              </w:rPr>
              <w:t>Risk-based</w:t>
            </w:r>
          </w:p>
        </w:tc>
        <w:tc>
          <w:tcPr>
            <w:tcW w:type="dxa" w:w="7087"/>
          </w:tcPr>
          <w:p>
            <w:r/>
            <w:r>
              <w:rPr>
                <w:rFonts w:ascii="Calibri" w:hAnsi="Calibri" w:cs="Calibri" w:eastAsia="Calibri"/>
                <w:b w:val="0"/>
                <w:i w:val="0"/>
                <w:sz w:val="18"/>
                <w:szCs w:val="18"/>
              </w:rPr>
              <w:t>Controls are selected and prioritized based on assessed risk and the approved risk appetite (GV-STM-001).</w:t>
            </w:r>
          </w:p>
        </w:tc>
      </w:tr>
      <w:tr>
        <w:tc>
          <w:tcPr>
            <w:tcW w:type="dxa" w:w="2268"/>
          </w:tcPr>
          <w:p>
            <w:r/>
            <w:r>
              <w:rPr>
                <w:rFonts w:ascii="Calibri" w:hAnsi="Calibri" w:cs="Calibri" w:eastAsia="Calibri"/>
                <w:b w:val="0"/>
                <w:i w:val="0"/>
                <w:sz w:val="18"/>
                <w:szCs w:val="18"/>
              </w:rPr>
              <w:t>Least privilege</w:t>
            </w:r>
          </w:p>
        </w:tc>
        <w:tc>
          <w:tcPr>
            <w:tcW w:type="dxa" w:w="7087"/>
          </w:tcPr>
          <w:p>
            <w:r/>
            <w:r>
              <w:rPr>
                <w:rFonts w:ascii="Calibri" w:hAnsi="Calibri" w:cs="Calibri" w:eastAsia="Calibri"/>
                <w:b w:val="0"/>
                <w:i w:val="0"/>
                <w:sz w:val="18"/>
                <w:szCs w:val="18"/>
              </w:rPr>
              <w:t>Users and systems receive only the access they need for their role, for only as long as they need it.</w:t>
            </w:r>
          </w:p>
        </w:tc>
      </w:tr>
      <w:tr>
        <w:tc>
          <w:tcPr>
            <w:tcW w:type="dxa" w:w="2268"/>
          </w:tcPr>
          <w:p>
            <w:r/>
            <w:r>
              <w:rPr>
                <w:rFonts w:ascii="Calibri" w:hAnsi="Calibri" w:cs="Calibri" w:eastAsia="Calibri"/>
                <w:b w:val="0"/>
                <w:i w:val="0"/>
                <w:sz w:val="18"/>
                <w:szCs w:val="18"/>
              </w:rPr>
              <w:t>Defense in depth</w:t>
            </w:r>
          </w:p>
        </w:tc>
        <w:tc>
          <w:tcPr>
            <w:tcW w:type="dxa" w:w="7087"/>
          </w:tcPr>
          <w:p>
            <w:r/>
            <w:r>
              <w:rPr>
                <w:rFonts w:ascii="Calibri" w:hAnsi="Calibri" w:cs="Calibri" w:eastAsia="Calibri"/>
                <w:b w:val="0"/>
                <w:i w:val="0"/>
                <w:sz w:val="18"/>
                <w:szCs w:val="18"/>
              </w:rPr>
              <w:t>Critical assets are protected by multiple, independent layers of control.</w:t>
            </w:r>
          </w:p>
        </w:tc>
      </w:tr>
      <w:tr>
        <w:tc>
          <w:tcPr>
            <w:tcW w:type="dxa" w:w="2268"/>
          </w:tcPr>
          <w:p>
            <w:r/>
            <w:r>
              <w:rPr>
                <w:rFonts w:ascii="Calibri" w:hAnsi="Calibri" w:cs="Calibri" w:eastAsia="Calibri"/>
                <w:b w:val="0"/>
                <w:i w:val="0"/>
                <w:sz w:val="18"/>
                <w:szCs w:val="18"/>
              </w:rPr>
              <w:t>Accountability</w:t>
            </w:r>
          </w:p>
        </w:tc>
        <w:tc>
          <w:tcPr>
            <w:tcW w:type="dxa" w:w="7087"/>
          </w:tcPr>
          <w:p>
            <w:r/>
            <w:r>
              <w:rPr>
                <w:rFonts w:ascii="Calibri" w:hAnsi="Calibri" w:cs="Calibri" w:eastAsia="Calibri"/>
                <w:b w:val="0"/>
                <w:i w:val="0"/>
                <w:sz w:val="18"/>
                <w:szCs w:val="18"/>
              </w:rPr>
              <w:t>Every information asset and every risk has a named owner.</w:t>
            </w:r>
          </w:p>
        </w:tc>
      </w:tr>
      <w:tr>
        <w:tc>
          <w:tcPr>
            <w:tcW w:type="dxa" w:w="2268"/>
          </w:tcPr>
          <w:p>
            <w:r/>
            <w:r>
              <w:rPr>
                <w:rFonts w:ascii="Calibri" w:hAnsi="Calibri" w:cs="Calibri" w:eastAsia="Calibri"/>
                <w:b w:val="0"/>
                <w:i w:val="0"/>
                <w:sz w:val="18"/>
                <w:szCs w:val="18"/>
              </w:rPr>
              <w:t>Security by design</w:t>
            </w:r>
          </w:p>
        </w:tc>
        <w:tc>
          <w:tcPr>
            <w:tcW w:type="dxa" w:w="7087"/>
          </w:tcPr>
          <w:p>
            <w:r/>
            <w:r>
              <w:rPr>
                <w:rFonts w:ascii="Calibri" w:hAnsi="Calibri" w:cs="Calibri" w:eastAsia="Calibri"/>
                <w:b w:val="0"/>
                <w:i w:val="0"/>
                <w:sz w:val="18"/>
                <w:szCs w:val="18"/>
              </w:rPr>
              <w:t>Security and privacy requirements are defined before systems are acquired, built, or changed.</w:t>
            </w:r>
          </w:p>
        </w:tc>
      </w:tr>
      <w:tr>
        <w:tc>
          <w:tcPr>
            <w:tcW w:type="dxa" w:w="2268"/>
          </w:tcPr>
          <w:p>
            <w:r/>
            <w:r>
              <w:rPr>
                <w:rFonts w:ascii="Calibri" w:hAnsi="Calibri" w:cs="Calibri" w:eastAsia="Calibri"/>
                <w:b w:val="0"/>
                <w:i w:val="0"/>
                <w:sz w:val="18"/>
                <w:szCs w:val="18"/>
              </w:rPr>
              <w:t>Resilience</w:t>
            </w:r>
          </w:p>
        </w:tc>
        <w:tc>
          <w:tcPr>
            <w:tcW w:type="dxa" w:w="7087"/>
          </w:tcPr>
          <w:p>
            <w:r/>
            <w:r>
              <w:rPr>
                <w:rFonts w:ascii="Calibri" w:hAnsi="Calibri" w:cs="Calibri" w:eastAsia="Calibri"/>
                <w:b w:val="0"/>
                <w:i w:val="0"/>
                <w:sz w:val="18"/>
                <w:szCs w:val="18"/>
              </w:rPr>
              <w:t>Critical services are designed and tested to recover within approved objectives.</w:t>
            </w:r>
          </w:p>
        </w:tc>
      </w:tr>
    </w:tbl>
    <w:p>
      <w:pPr>
        <w:spacing w:after="40"/>
      </w:pPr>
    </w:p>
    <w:p>
      <w:pPr>
        <w:pStyle w:val="Heading2"/>
        <w:keepNext/>
        <w:spacing w:before="120" w:after="80"/>
      </w:pPr>
      <w:r>
        <w:rPr>
          <w:rFonts w:ascii="Calibri" w:hAnsi="Calibri" w:cs="Calibri" w:eastAsia="Calibri"/>
          <w:b/>
          <w:i w:val="0"/>
          <w:color w:val="1F3864"/>
          <w:sz w:val="24"/>
          <w:szCs w:val="24"/>
          <w:bCs/>
        </w:rPr>
        <w:t>4.6 Policy Framework and Document Hierarchy</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Describe how this policy cascades into topic policies, standards, procedures, and records, and who approves each tier.</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850"/>
        <w:gridCol w:w="2551"/>
        <w:gridCol w:w="3685"/>
        <w:gridCol w:w="2268"/>
      </w:tblGrid>
      <w:tr>
        <w:trPr>
          <w:tblHeader w:val="true"/>
        </w:trPr>
        <w:tc>
          <w:tcPr>
            <w:tcW w:type="dxa" w:w="850"/>
            <w:shd w:val="clear" w:color="auto" w:fill="1F3864"/>
          </w:tcPr>
          <w:p>
            <w:r/>
            <w:r>
              <w:rPr>
                <w:rFonts w:ascii="Calibri" w:hAnsi="Calibri" w:cs="Calibri" w:eastAsia="Calibri"/>
                <w:b/>
                <w:i w:val="0"/>
                <w:color w:val="FFFFFF"/>
                <w:sz w:val="18"/>
                <w:szCs w:val="18"/>
                <w:bCs/>
              </w:rPr>
              <w:t>Tier</w:t>
            </w:r>
          </w:p>
        </w:tc>
        <w:tc>
          <w:tcPr>
            <w:tcW w:type="dxa" w:w="2551"/>
            <w:shd w:val="clear" w:color="auto" w:fill="1F3864"/>
          </w:tcPr>
          <w:p>
            <w:r/>
            <w:r>
              <w:rPr>
                <w:rFonts w:ascii="Calibri" w:hAnsi="Calibri" w:cs="Calibri" w:eastAsia="Calibri"/>
                <w:b/>
                <w:i w:val="0"/>
                <w:color w:val="FFFFFF"/>
                <w:sz w:val="18"/>
                <w:szCs w:val="18"/>
                <w:bCs/>
              </w:rPr>
              <w:t>Document type</w:t>
            </w:r>
          </w:p>
        </w:tc>
        <w:tc>
          <w:tcPr>
            <w:tcW w:type="dxa" w:w="3685"/>
            <w:shd w:val="clear" w:color="auto" w:fill="1F3864"/>
          </w:tcPr>
          <w:p>
            <w:r/>
            <w:r>
              <w:rPr>
                <w:rFonts w:ascii="Calibri" w:hAnsi="Calibri" w:cs="Calibri" w:eastAsia="Calibri"/>
                <w:b/>
                <w:i w:val="0"/>
                <w:color w:val="FFFFFF"/>
                <w:sz w:val="18"/>
                <w:szCs w:val="18"/>
                <w:bCs/>
              </w:rPr>
              <w:t>Purpose</w:t>
            </w:r>
          </w:p>
        </w:tc>
        <w:tc>
          <w:tcPr>
            <w:tcW w:type="dxa" w:w="2268"/>
            <w:shd w:val="clear" w:color="auto" w:fill="1F3864"/>
          </w:tcPr>
          <w:p>
            <w:r/>
            <w:r>
              <w:rPr>
                <w:rFonts w:ascii="Calibri" w:hAnsi="Calibri" w:cs="Calibri" w:eastAsia="Calibri"/>
                <w:b/>
                <w:i w:val="0"/>
                <w:color w:val="FFFFFF"/>
                <w:sz w:val="18"/>
                <w:szCs w:val="18"/>
                <w:bCs/>
              </w:rPr>
              <w:t>Approver</w:t>
            </w:r>
          </w:p>
        </w:tc>
      </w:tr>
      <w:tr>
        <w:tc>
          <w:tcPr>
            <w:tcW w:type="dxa" w:w="850"/>
          </w:tcPr>
          <w:p>
            <w:r/>
            <w:r>
              <w:rPr>
                <w:rFonts w:ascii="Calibri" w:hAnsi="Calibri" w:cs="Calibri" w:eastAsia="Calibri"/>
                <w:b w:val="0"/>
                <w:i w:val="0"/>
                <w:sz w:val="18"/>
                <w:szCs w:val="18"/>
              </w:rPr>
              <w:t>T0</w:t>
            </w:r>
          </w:p>
        </w:tc>
        <w:tc>
          <w:tcPr>
            <w:tcW w:type="dxa" w:w="2551"/>
          </w:tcPr>
          <w:p>
            <w:r/>
            <w:r>
              <w:rPr>
                <w:rFonts w:ascii="Calibri" w:hAnsi="Calibri" w:cs="Calibri" w:eastAsia="Calibri"/>
                <w:b w:val="0"/>
                <w:i w:val="0"/>
                <w:sz w:val="18"/>
                <w:szCs w:val="18"/>
              </w:rPr>
              <w:t>Charter, strategy, statement</w:t>
            </w:r>
          </w:p>
        </w:tc>
        <w:tc>
          <w:tcPr>
            <w:tcW w:type="dxa" w:w="3685"/>
          </w:tcPr>
          <w:p>
            <w:r/>
            <w:r>
              <w:rPr>
                <w:rFonts w:ascii="Calibri" w:hAnsi="Calibri" w:cs="Calibri" w:eastAsia="Calibri"/>
                <w:b w:val="0"/>
                <w:i w:val="0"/>
                <w:sz w:val="18"/>
                <w:szCs w:val="18"/>
              </w:rPr>
              <w:t>Sets mandate, direction, and risk appetite</w:t>
            </w:r>
          </w:p>
        </w:tc>
        <w:tc>
          <w:tcPr>
            <w:tcW w:type="dxa" w:w="2268"/>
          </w:tcPr>
          <w:p>
            <w:r/>
            <w:r>
              <w:rPr>
                <w:rFonts w:ascii="Calibri" w:hAnsi="Calibri" w:cs="Calibri" w:eastAsia="Calibri"/>
                <w:b w:val="0"/>
                <w:i w:val="0"/>
                <w:sz w:val="18"/>
                <w:szCs w:val="18"/>
              </w:rPr>
              <w:t>CMC Board of Directors</w:t>
            </w:r>
          </w:p>
        </w:tc>
      </w:tr>
      <w:tr>
        <w:tc>
          <w:tcPr>
            <w:tcW w:type="dxa" w:w="850"/>
          </w:tcPr>
          <w:p>
            <w:r/>
            <w:r>
              <w:rPr>
                <w:rFonts w:ascii="Calibri" w:hAnsi="Calibri" w:cs="Calibri" w:eastAsia="Calibri"/>
                <w:b w:val="0"/>
                <w:i w:val="0"/>
                <w:sz w:val="18"/>
                <w:szCs w:val="18"/>
              </w:rPr>
              <w:t>T1</w:t>
            </w:r>
          </w:p>
        </w:tc>
        <w:tc>
          <w:tcPr>
            <w:tcW w:type="dxa" w:w="2551"/>
          </w:tcPr>
          <w:p>
            <w:r/>
            <w:r>
              <w:rPr>
                <w:rFonts w:ascii="Calibri" w:hAnsi="Calibri" w:cs="Calibri" w:eastAsia="Calibri"/>
                <w:b w:val="0"/>
                <w:i w:val="0"/>
                <w:sz w:val="18"/>
                <w:szCs w:val="18"/>
              </w:rPr>
              <w:t>Policy</w:t>
            </w:r>
          </w:p>
        </w:tc>
        <w:tc>
          <w:tcPr>
            <w:tcW w:type="dxa" w:w="3685"/>
          </w:tcPr>
          <w:p>
            <w:r/>
            <w:r>
              <w:rPr>
                <w:rFonts w:ascii="Calibri" w:hAnsi="Calibri" w:cs="Calibri" w:eastAsia="Calibri"/>
                <w:b w:val="0"/>
                <w:i w:val="0"/>
                <w:sz w:val="18"/>
                <w:szCs w:val="18"/>
              </w:rPr>
              <w:t>States what must be achieved and why</w:t>
            </w:r>
          </w:p>
        </w:tc>
        <w:tc>
          <w:tcPr>
            <w:tcW w:type="dxa" w:w="2268"/>
          </w:tcPr>
          <w:p>
            <w:r/>
            <w:r>
              <w:rPr>
                <w:rFonts w:ascii="Calibri" w:hAnsi="Calibri" w:cs="Calibri" w:eastAsia="Calibri"/>
                <w:b w:val="0"/>
                <w:i w:val="0"/>
                <w:sz w:val="18"/>
                <w:szCs w:val="18"/>
              </w:rPr>
              <w:t>Chief Executive Officer (CEO)</w:t>
            </w:r>
          </w:p>
        </w:tc>
      </w:tr>
      <w:tr>
        <w:tc>
          <w:tcPr>
            <w:tcW w:type="dxa" w:w="850"/>
          </w:tcPr>
          <w:p>
            <w:r/>
            <w:r>
              <w:rPr>
                <w:rFonts w:ascii="Calibri" w:hAnsi="Calibri" w:cs="Calibri" w:eastAsia="Calibri"/>
                <w:b w:val="0"/>
                <w:i w:val="0"/>
                <w:sz w:val="18"/>
                <w:szCs w:val="18"/>
              </w:rPr>
              <w:t>T2</w:t>
            </w:r>
          </w:p>
        </w:tc>
        <w:tc>
          <w:tcPr>
            <w:tcW w:type="dxa" w:w="2551"/>
          </w:tcPr>
          <w:p>
            <w:r/>
            <w:r>
              <w:rPr>
                <w:rFonts w:ascii="Calibri" w:hAnsi="Calibri" w:cs="Calibri" w:eastAsia="Calibri"/>
                <w:b w:val="0"/>
                <w:i w:val="0"/>
                <w:sz w:val="18"/>
                <w:szCs w:val="18"/>
              </w:rPr>
              <w:t>Standard</w:t>
            </w:r>
          </w:p>
        </w:tc>
        <w:tc>
          <w:tcPr>
            <w:tcW w:type="dxa" w:w="3685"/>
          </w:tcPr>
          <w:p>
            <w:r/>
            <w:r>
              <w:rPr>
                <w:rFonts w:ascii="Calibri" w:hAnsi="Calibri" w:cs="Calibri" w:eastAsia="Calibri"/>
                <w:b w:val="0"/>
                <w:i w:val="0"/>
                <w:sz w:val="18"/>
                <w:szCs w:val="18"/>
              </w:rPr>
              <w:t>Sets measurable, mandatory requirements</w:t>
            </w:r>
          </w:p>
        </w:tc>
        <w:tc>
          <w:tcPr>
            <w:tcW w:type="dxa" w:w="2268"/>
          </w:tcPr>
          <w:p>
            <w:r/>
            <w:r>
              <w:rPr>
                <w:rFonts w:ascii="Calibri" w:hAnsi="Calibri" w:cs="Calibri" w:eastAsia="Calibri"/>
                <w:b w:val="0"/>
                <w:i w:val="0"/>
                <w:sz w:val="18"/>
                <w:szCs w:val="18"/>
              </w:rPr>
              <w:t>Chief Information Officer (CIO)</w:t>
            </w:r>
          </w:p>
        </w:tc>
      </w:tr>
      <w:tr>
        <w:tc>
          <w:tcPr>
            <w:tcW w:type="dxa" w:w="850"/>
          </w:tcPr>
          <w:p>
            <w:r/>
            <w:r>
              <w:rPr>
                <w:rFonts w:ascii="Calibri" w:hAnsi="Calibri" w:cs="Calibri" w:eastAsia="Calibri"/>
                <w:b w:val="0"/>
                <w:i w:val="0"/>
                <w:sz w:val="18"/>
                <w:szCs w:val="18"/>
              </w:rPr>
              <w:t>T3</w:t>
            </w:r>
          </w:p>
        </w:tc>
        <w:tc>
          <w:tcPr>
            <w:tcW w:type="dxa" w:w="2551"/>
          </w:tcPr>
          <w:p>
            <w:r/>
            <w:r>
              <w:rPr>
                <w:rFonts w:ascii="Calibri" w:hAnsi="Calibri" w:cs="Calibri" w:eastAsia="Calibri"/>
                <w:b w:val="0"/>
                <w:i w:val="0"/>
                <w:sz w:val="18"/>
                <w:szCs w:val="18"/>
              </w:rPr>
              <w:t>Procedure, plan, playbook, guideline</w:t>
            </w:r>
          </w:p>
        </w:tc>
        <w:tc>
          <w:tcPr>
            <w:tcW w:type="dxa" w:w="3685"/>
          </w:tcPr>
          <w:p>
            <w:r/>
            <w:r>
              <w:rPr>
                <w:rFonts w:ascii="Calibri" w:hAnsi="Calibri" w:cs="Calibri" w:eastAsia="Calibri"/>
                <w:b w:val="0"/>
                <w:i w:val="0"/>
                <w:sz w:val="18"/>
                <w:szCs w:val="18"/>
              </w:rPr>
              <w:t>Describes how, by whom, and when</w:t>
            </w:r>
          </w:p>
        </w:tc>
        <w:tc>
          <w:tcPr>
            <w:tcW w:type="dxa" w:w="2268"/>
          </w:tcPr>
          <w:p>
            <w:r/>
            <w:r>
              <w:rPr>
                <w:rFonts w:ascii="Calibri" w:hAnsi="Calibri" w:cs="Calibri" w:eastAsia="Calibri"/>
                <w:b w:val="0"/>
                <w:i w:val="0"/>
                <w:sz w:val="18"/>
                <w:szCs w:val="18"/>
              </w:rPr>
              <w:t>Security Manager or process owner</w:t>
            </w:r>
          </w:p>
        </w:tc>
      </w:tr>
      <w:tr>
        <w:tc>
          <w:tcPr>
            <w:tcW w:type="dxa" w:w="850"/>
          </w:tcPr>
          <w:p>
            <w:r/>
            <w:r>
              <w:rPr>
                <w:rFonts w:ascii="Calibri" w:hAnsi="Calibri" w:cs="Calibri" w:eastAsia="Calibri"/>
                <w:b w:val="0"/>
                <w:i w:val="0"/>
                <w:sz w:val="18"/>
                <w:szCs w:val="18"/>
              </w:rPr>
              <w:t>T4</w:t>
            </w:r>
          </w:p>
        </w:tc>
        <w:tc>
          <w:tcPr>
            <w:tcW w:type="dxa" w:w="2551"/>
          </w:tcPr>
          <w:p>
            <w:r/>
            <w:r>
              <w:rPr>
                <w:rFonts w:ascii="Calibri" w:hAnsi="Calibri" w:cs="Calibri" w:eastAsia="Calibri"/>
                <w:b w:val="0"/>
                <w:i w:val="0"/>
                <w:sz w:val="18"/>
                <w:szCs w:val="18"/>
              </w:rPr>
              <w:t>Form, register, record, report, template</w:t>
            </w:r>
          </w:p>
        </w:tc>
        <w:tc>
          <w:tcPr>
            <w:tcW w:type="dxa" w:w="3685"/>
          </w:tcPr>
          <w:p>
            <w:r/>
            <w:r>
              <w:rPr>
                <w:rFonts w:ascii="Calibri" w:hAnsi="Calibri" w:cs="Calibri" w:eastAsia="Calibri"/>
                <w:b w:val="0"/>
                <w:i w:val="0"/>
                <w:sz w:val="18"/>
                <w:szCs w:val="18"/>
              </w:rPr>
              <w:t>Captures evidence of execution</w:t>
            </w:r>
          </w:p>
        </w:tc>
        <w:tc>
          <w:tcPr>
            <w:tcW w:type="dxa" w:w="2268"/>
          </w:tcPr>
          <w:p>
            <w:r/>
            <w:r>
              <w:rPr>
                <w:rFonts w:ascii="Calibri" w:hAnsi="Calibri" w:cs="Calibri" w:eastAsia="Calibri"/>
                <w:b w:val="0"/>
                <w:i w:val="0"/>
                <w:sz w:val="18"/>
                <w:szCs w:val="18"/>
              </w:rPr>
              <w:t>Process owner</w:t>
            </w:r>
          </w:p>
        </w:tc>
      </w:tr>
    </w:tbl>
    <w:p>
      <w:pPr>
        <w:spacing w:after="40"/>
      </w:pPr>
    </w:p>
    <w:p>
      <w:pPr>
        <w:pStyle w:val="Heading2"/>
        <w:keepNext/>
        <w:spacing w:before="120" w:after="80"/>
      </w:pPr>
      <w:r>
        <w:rPr>
          <w:rFonts w:ascii="Calibri" w:hAnsi="Calibri" w:cs="Calibri" w:eastAsia="Calibri"/>
          <w:b/>
          <w:i w:val="0"/>
          <w:color w:val="1F3864"/>
          <w:sz w:val="24"/>
          <w:szCs w:val="24"/>
          <w:bCs/>
        </w:rPr>
        <w:t>4.7 Topic-Specific Policies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topic-specific policies that support this policy (ISO/IEC 27001:2022 Annex A 5.1).</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GV-POL-002 Cybersecurity Risk Management Policy</w:t>
      </w:r>
    </w:p>
    <w:p>
      <w:pPr>
        <w:pStyle w:val="ListBullet"/>
        <w:spacing w:after="40"/>
      </w:pPr>
      <w:r>
        <w:rPr>
          <w:rFonts w:ascii="Calibri" w:hAnsi="Calibri" w:cs="Calibri" w:eastAsia="Calibri"/>
          <w:b w:val="0"/>
          <w:i w:val="0"/>
          <w:sz w:val="21"/>
          <w:szCs w:val="21"/>
        </w:rPr>
        <w:t>GV-POL-003 Acceptable Use Policy</w:t>
      </w:r>
    </w:p>
    <w:p>
      <w:pPr>
        <w:pStyle w:val="ListBullet"/>
        <w:spacing w:after="40"/>
      </w:pPr>
      <w:r>
        <w:rPr>
          <w:rFonts w:ascii="Calibri" w:hAnsi="Calibri" w:cs="Calibri" w:eastAsia="Calibri"/>
          <w:b w:val="0"/>
          <w:i w:val="0"/>
          <w:sz w:val="21"/>
          <w:szCs w:val="21"/>
        </w:rPr>
        <w:t>GV-POL-004 Personal Data Protection Policy</w:t>
      </w:r>
    </w:p>
    <w:p>
      <w:pPr>
        <w:pStyle w:val="ListBullet"/>
        <w:spacing w:after="40"/>
      </w:pPr>
      <w:r>
        <w:rPr>
          <w:rFonts w:ascii="Calibri" w:hAnsi="Calibri" w:cs="Calibri" w:eastAsia="Calibri"/>
          <w:b w:val="0"/>
          <w:i w:val="0"/>
          <w:sz w:val="21"/>
          <w:szCs w:val="21"/>
        </w:rPr>
        <w:t>GV-POL-006 Third-Party and Supply Chain Security Policy</w:t>
      </w:r>
    </w:p>
    <w:p>
      <w:pPr>
        <w:pStyle w:val="ListBullet"/>
        <w:spacing w:after="40"/>
      </w:pPr>
      <w:r>
        <w:rPr>
          <w:rFonts w:ascii="Calibri" w:hAnsi="Calibri" w:cs="Calibri" w:eastAsia="Calibri"/>
          <w:b w:val="0"/>
          <w:i w:val="0"/>
          <w:sz w:val="21"/>
          <w:szCs w:val="21"/>
        </w:rPr>
        <w:t>PR-POL-001 Access Control Policy</w:t>
      </w:r>
    </w:p>
    <w:p>
      <w:pPr>
        <w:pStyle w:val="ListBullet"/>
        <w:spacing w:after="40"/>
      </w:pPr>
      <w:r>
        <w:rPr>
          <w:rFonts w:ascii="Calibri" w:hAnsi="Calibri" w:cs="Calibri" w:eastAsia="Calibri"/>
          <w:b w:val="0"/>
          <w:i w:val="0"/>
          <w:sz w:val="21"/>
          <w:szCs w:val="21"/>
        </w:rPr>
        <w:t>PR-POL-002 Physical and Environmental Security Policy</w:t>
      </w:r>
    </w:p>
    <w:p>
      <w:pPr>
        <w:pStyle w:val="ListBullet"/>
        <w:spacing w:after="40"/>
      </w:pPr>
      <w:r>
        <w:rPr>
          <w:rFonts w:ascii="Calibri" w:hAnsi="Calibri" w:cs="Calibri" w:eastAsia="Calibri"/>
          <w:b w:val="0"/>
          <w:i w:val="0"/>
          <w:sz w:val="21"/>
          <w:szCs w:val="21"/>
        </w:rPr>
        <w:t>PR-POL-003 Data Protection and Classification Policy</w:t>
      </w:r>
    </w:p>
    <w:p>
      <w:pPr>
        <w:pStyle w:val="ListBullet"/>
        <w:spacing w:after="40"/>
      </w:pPr>
      <w:r>
        <w:rPr>
          <w:rFonts w:ascii="Calibri" w:hAnsi="Calibri" w:cs="Calibri" w:eastAsia="Calibri"/>
          <w:b w:val="0"/>
          <w:i w:val="0"/>
          <w:sz w:val="21"/>
          <w:szCs w:val="21"/>
        </w:rPr>
        <w:t>RC-POL-001 Business Continuity Management Policy</w:t>
      </w:r>
    </w:p>
    <w:p>
      <w:pPr>
        <w:pStyle w:val="Heading2"/>
        <w:keepNext/>
        <w:spacing w:before="120" w:after="80"/>
      </w:pPr>
      <w:r>
        <w:rPr>
          <w:rFonts w:ascii="Calibri" w:hAnsi="Calibri" w:cs="Calibri" w:eastAsia="Calibri"/>
          <w:b/>
          <w:i w:val="0"/>
          <w:color w:val="1F3864"/>
          <w:sz w:val="24"/>
          <w:szCs w:val="24"/>
          <w:bCs/>
        </w:rPr>
        <w:t>4.8 Roles and Responsibilities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Assign accountability for the policy and for information security at board, management, function, and user level.</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2551"/>
        <w:gridCol w:w="6804"/>
      </w:tblGrid>
      <w:tr>
        <w:trPr>
          <w:tblHeader w:val="true"/>
        </w:trPr>
        <w:tc>
          <w:tcPr>
            <w:tcW w:type="dxa" w:w="2551"/>
            <w:shd w:val="clear" w:color="auto" w:fill="1F3864"/>
          </w:tcPr>
          <w:p>
            <w:r/>
            <w:r>
              <w:rPr>
                <w:rFonts w:ascii="Calibri" w:hAnsi="Calibri" w:cs="Calibri" w:eastAsia="Calibri"/>
                <w:b/>
                <w:i w:val="0"/>
                <w:color w:val="FFFFFF"/>
                <w:sz w:val="18"/>
                <w:szCs w:val="18"/>
                <w:bCs/>
              </w:rPr>
              <w:t>Role</w:t>
            </w:r>
          </w:p>
        </w:tc>
        <w:tc>
          <w:tcPr>
            <w:tcW w:type="dxa" w:w="6803"/>
            <w:shd w:val="clear" w:color="auto" w:fill="1F3864"/>
          </w:tcPr>
          <w:p>
            <w:r/>
            <w:r>
              <w:rPr>
                <w:rFonts w:ascii="Calibri" w:hAnsi="Calibri" w:cs="Calibri" w:eastAsia="Calibri"/>
                <w:b/>
                <w:i w:val="0"/>
                <w:color w:val="FFFFFF"/>
                <w:sz w:val="18"/>
                <w:szCs w:val="18"/>
                <w:bCs/>
              </w:rPr>
              <w:t>Responsibility</w:t>
            </w:r>
          </w:p>
        </w:tc>
      </w:tr>
      <w:tr>
        <w:tc>
          <w:tcPr>
            <w:tcW w:type="dxa" w:w="2551"/>
          </w:tcPr>
          <w:p>
            <w:r/>
            <w:r>
              <w:rPr>
                <w:rFonts w:ascii="Calibri" w:hAnsi="Calibri" w:cs="Calibri" w:eastAsia="Calibri"/>
                <w:b w:val="0"/>
                <w:i w:val="0"/>
                <w:sz w:val="18"/>
                <w:szCs w:val="18"/>
              </w:rPr>
              <w:t>CMC Board of Directors</w:t>
            </w:r>
          </w:p>
        </w:tc>
        <w:tc>
          <w:tcPr>
            <w:tcW w:type="dxa" w:w="6803"/>
          </w:tcPr>
          <w:p>
            <w:r/>
            <w:r>
              <w:rPr>
                <w:rFonts w:ascii="Calibri" w:hAnsi="Calibri" w:cs="Calibri" w:eastAsia="Calibri"/>
                <w:b w:val="0"/>
                <w:i w:val="0"/>
                <w:sz w:val="18"/>
                <w:szCs w:val="18"/>
              </w:rPr>
              <w:t>Approves the governance charter and risk appetite; receives security reports at least twice a year.</w:t>
            </w:r>
          </w:p>
        </w:tc>
      </w:tr>
      <w:tr>
        <w:tc>
          <w:tcPr>
            <w:tcW w:type="dxa" w:w="2551"/>
          </w:tcPr>
          <w:p>
            <w:r/>
            <w:r>
              <w:rPr>
                <w:rFonts w:ascii="Calibri" w:hAnsi="Calibri" w:cs="Calibri" w:eastAsia="Calibri"/>
                <w:b w:val="0"/>
                <w:i w:val="0"/>
                <w:sz w:val="18"/>
                <w:szCs w:val="18"/>
              </w:rPr>
              <w:t>Chief Executive Officer (CEO)</w:t>
            </w:r>
          </w:p>
        </w:tc>
        <w:tc>
          <w:tcPr>
            <w:tcW w:type="dxa" w:w="6803"/>
          </w:tcPr>
          <w:p>
            <w:r/>
            <w:r>
              <w:rPr>
                <w:rFonts w:ascii="Calibri" w:hAnsi="Calibri" w:cs="Calibri" w:eastAsia="Calibri"/>
                <w:b w:val="0"/>
                <w:i w:val="0"/>
                <w:sz w:val="18"/>
                <w:szCs w:val="18"/>
              </w:rPr>
              <w:t>Approves this policy; accountable for cybersecurity risk across the organization.</w:t>
            </w:r>
          </w:p>
        </w:tc>
      </w:tr>
      <w:tr>
        <w:tc>
          <w:tcPr>
            <w:tcW w:type="dxa" w:w="2551"/>
          </w:tcPr>
          <w:p>
            <w:r/>
            <w:r>
              <w:rPr>
                <w:rFonts w:ascii="Calibri" w:hAnsi="Calibri" w:cs="Calibri" w:eastAsia="Calibri"/>
                <w:b w:val="0"/>
                <w:i w:val="0"/>
                <w:sz w:val="18"/>
                <w:szCs w:val="18"/>
              </w:rPr>
              <w:t>Information Security Steering Committee (ISSC)</w:t>
            </w:r>
          </w:p>
        </w:tc>
        <w:tc>
          <w:tcPr>
            <w:tcW w:type="dxa" w:w="6803"/>
          </w:tcPr>
          <w:p>
            <w:r/>
            <w:r>
              <w:rPr>
                <w:rFonts w:ascii="Calibri" w:hAnsi="Calibri" w:cs="Calibri" w:eastAsia="Calibri"/>
                <w:b w:val="0"/>
                <w:i w:val="0"/>
                <w:sz w:val="18"/>
                <w:szCs w:val="18"/>
              </w:rPr>
              <w:t>Oversees implementation, approves standards and major exceptions, and reviews performance.</w:t>
            </w:r>
          </w:p>
        </w:tc>
      </w:tr>
      <w:tr>
        <w:tc>
          <w:tcPr>
            <w:tcW w:type="dxa" w:w="2551"/>
          </w:tcPr>
          <w:p>
            <w:r/>
            <w:r>
              <w:rPr>
                <w:rFonts w:ascii="Calibri" w:hAnsi="Calibri" w:cs="Calibri" w:eastAsia="Calibri"/>
                <w:b w:val="0"/>
                <w:i w:val="0"/>
                <w:sz w:val="18"/>
                <w:szCs w:val="18"/>
              </w:rPr>
              <w:t>Security Manager</w:t>
            </w:r>
          </w:p>
        </w:tc>
        <w:tc>
          <w:tcPr>
            <w:tcW w:type="dxa" w:w="6803"/>
          </w:tcPr>
          <w:p>
            <w:r/>
            <w:r>
              <w:rPr>
                <w:rFonts w:ascii="Calibri" w:hAnsi="Calibri" w:cs="Calibri" w:eastAsia="Calibri"/>
                <w:b w:val="0"/>
                <w:i w:val="0"/>
                <w:sz w:val="18"/>
                <w:szCs w:val="18"/>
              </w:rPr>
              <w:t>Owns this policy; designs, runs, and reports on the security program.</w:t>
            </w:r>
          </w:p>
        </w:tc>
      </w:tr>
      <w:tr>
        <w:tc>
          <w:tcPr>
            <w:tcW w:type="dxa" w:w="2551"/>
          </w:tcPr>
          <w:p>
            <w:r/>
            <w:r>
              <w:rPr>
                <w:rFonts w:ascii="Calibri" w:hAnsi="Calibri" w:cs="Calibri" w:eastAsia="Calibri"/>
                <w:b w:val="0"/>
                <w:i w:val="0"/>
                <w:sz w:val="18"/>
                <w:szCs w:val="18"/>
              </w:rPr>
              <w:t>Managers</w:t>
            </w:r>
          </w:p>
        </w:tc>
        <w:tc>
          <w:tcPr>
            <w:tcW w:type="dxa" w:w="6803"/>
          </w:tcPr>
          <w:p>
            <w:r/>
            <w:r>
              <w:rPr>
                <w:rFonts w:ascii="Calibri" w:hAnsi="Calibri" w:cs="Calibri" w:eastAsia="Calibri"/>
                <w:b w:val="0"/>
                <w:i w:val="0"/>
                <w:sz w:val="18"/>
                <w:szCs w:val="18"/>
              </w:rPr>
              <w:t>Ensure their teams follow this policy and act as owners of assets and risks in their area.</w:t>
            </w:r>
          </w:p>
        </w:tc>
      </w:tr>
      <w:tr>
        <w:tc>
          <w:tcPr>
            <w:tcW w:type="dxa" w:w="2551"/>
          </w:tcPr>
          <w:p>
            <w:r/>
            <w:r>
              <w:rPr>
                <w:rFonts w:ascii="Calibri" w:hAnsi="Calibri" w:cs="Calibri" w:eastAsia="Calibri"/>
                <w:b w:val="0"/>
                <w:i w:val="0"/>
                <w:sz w:val="18"/>
                <w:szCs w:val="18"/>
              </w:rPr>
              <w:t>All users</w:t>
            </w:r>
          </w:p>
        </w:tc>
        <w:tc>
          <w:tcPr>
            <w:tcW w:type="dxa" w:w="6803"/>
          </w:tcPr>
          <w:p>
            <w:r/>
            <w:r>
              <w:rPr>
                <w:rFonts w:ascii="Calibri" w:hAnsi="Calibri" w:cs="Calibri" w:eastAsia="Calibri"/>
                <w:b w:val="0"/>
                <w:i w:val="0"/>
                <w:sz w:val="18"/>
                <w:szCs w:val="18"/>
              </w:rPr>
              <w:t>Follow this policy and report suspected incidents immediately.</w:t>
            </w:r>
          </w:p>
        </w:tc>
      </w:tr>
    </w:tbl>
    <w:p>
      <w:pPr>
        <w:spacing w:after="40"/>
      </w:pPr>
    </w:p>
    <w:p>
      <w:pPr>
        <w:pStyle w:val="Heading2"/>
        <w:keepNext/>
        <w:spacing w:before="120" w:after="80"/>
      </w:pPr>
      <w:r>
        <w:rPr>
          <w:rFonts w:ascii="Calibri" w:hAnsi="Calibri" w:cs="Calibri" w:eastAsia="Calibri"/>
          <w:b/>
          <w:i w:val="0"/>
          <w:color w:val="1F3864"/>
          <w:sz w:val="24"/>
          <w:szCs w:val="24"/>
          <w:bCs/>
        </w:rPr>
        <w:t>4.9 Communication and Review</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how the policy is communicated and acknowledged, and when it is reviewed (ISO/IEC 27001:2022 Clause 5.2 and Annex A 5.1).</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The policy is published on the intranet and communicated to all personnel at onboarding and once a year.</w:t>
      </w:r>
    </w:p>
    <w:p>
      <w:pPr>
        <w:pStyle w:val="ListBullet"/>
        <w:spacing w:after="40"/>
      </w:pPr>
      <w:r>
        <w:rPr>
          <w:rFonts w:ascii="Calibri" w:hAnsi="Calibri" w:cs="Calibri" w:eastAsia="Calibri"/>
          <w:b w:val="0"/>
          <w:i w:val="0"/>
          <w:sz w:val="21"/>
          <w:szCs w:val="21"/>
        </w:rPr>
        <w:t>Every user acknowledges the policy in writing or electronically each year.</w:t>
      </w:r>
    </w:p>
    <w:p>
      <w:pPr>
        <w:pStyle w:val="ListBullet"/>
        <w:spacing w:after="40"/>
      </w:pPr>
      <w:r>
        <w:rPr>
          <w:rFonts w:ascii="Calibri" w:hAnsi="Calibri" w:cs="Calibri" w:eastAsia="Calibri"/>
          <w:b w:val="0"/>
          <w:i w:val="0"/>
          <w:sz w:val="21"/>
          <w:szCs w:val="21"/>
        </w:rPr>
        <w:t>The Security Manager reviews the policy at least once a year and after any major change in business, law, technology, or threat.</w:t>
      </w:r>
    </w:p>
    <w:p>
      <w:pPr>
        <w:pStyle w:val="Heading2"/>
        <w:keepNext/>
        <w:spacing w:before="120" w:after="80"/>
      </w:pPr>
      <w:r>
        <w:rPr>
          <w:rFonts w:ascii="Calibri" w:hAnsi="Calibri" w:cs="Calibri" w:eastAsia="Calibri"/>
          <w:b/>
          <w:i w:val="0"/>
          <w:color w:val="1F3864"/>
          <w:sz w:val="24"/>
          <w:szCs w:val="24"/>
          <w:bCs/>
        </w:rPr>
        <w:t>4.10 Compliance and Exceptions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that compliance is mandatory, how compliance is verified, how exceptions are requested, and the consequence of violation.</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Compliance with this policy is mandatory for everyone in scope.</w:t>
      </w:r>
    </w:p>
    <w:p>
      <w:pPr>
        <w:pStyle w:val="ListBullet"/>
        <w:spacing w:after="40"/>
      </w:pPr>
      <w:r>
        <w:rPr>
          <w:rFonts w:ascii="Calibri" w:hAnsi="Calibri" w:cs="Calibri" w:eastAsia="Calibri"/>
          <w:b w:val="0"/>
          <w:i w:val="0"/>
          <w:sz w:val="21"/>
          <w:szCs w:val="21"/>
        </w:rPr>
        <w:t>The Security Manager verifies compliance through periodic reviews, technical checks, and internal audit (GV-PRC-007).</w:t>
      </w:r>
    </w:p>
    <w:p>
      <w:pPr>
        <w:pStyle w:val="ListBullet"/>
        <w:spacing w:after="40"/>
      </w:pPr>
      <w:r>
        <w:rPr>
          <w:rFonts w:ascii="Calibri" w:hAnsi="Calibri" w:cs="Calibri" w:eastAsia="Calibri"/>
          <w:b w:val="0"/>
          <w:i w:val="0"/>
          <w:sz w:val="21"/>
          <w:szCs w:val="21"/>
        </w:rPr>
        <w:t>Requests for deviation follow the Policy Exception Management Procedure (GV-PRC-003). No exception is valid without written approval and an expiry date.</w:t>
      </w:r>
    </w:p>
    <w:p>
      <w:pPr>
        <w:pStyle w:val="ListBullet"/>
        <w:spacing w:after="40"/>
      </w:pPr>
      <w:r>
        <w:rPr>
          <w:rFonts w:ascii="Calibri" w:hAnsi="Calibri" w:cs="Calibri" w:eastAsia="Calibri"/>
          <w:b w:val="0"/>
          <w:i w:val="0"/>
          <w:sz w:val="21"/>
          <w:szCs w:val="21"/>
        </w:rPr>
        <w:t>Violations may result in disciplinary action under the Human Resources Security Standard (GV-STD-001) and applicable law.</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Keep the policy short (three to five pages) and push technical detail into standards, so the policy rarely needs Board-level re-approval.</w:t>
      </w:r>
    </w:p>
    <w:p>
      <w:pPr>
        <w:pStyle w:val="ListBullet"/>
        <w:spacing w:after="40"/>
      </w:pPr>
      <w:r>
        <w:rPr>
          <w:rFonts w:ascii="Calibri" w:hAnsi="Calibri" w:cs="Calibri" w:eastAsia="Calibri"/>
          <w:b w:val="0"/>
          <w:i w:val="0"/>
          <w:sz w:val="21"/>
          <w:szCs w:val="21"/>
        </w:rPr>
        <w:t>Write each principle so an auditor can test it: a statement that cannot be verified is not a control.</w:t>
      </w:r>
    </w:p>
    <w:p>
      <w:pPr>
        <w:pStyle w:val="ListBullet"/>
        <w:spacing w:after="40"/>
      </w:pPr>
      <w:r>
        <w:rPr>
          <w:rFonts w:ascii="Calibri" w:hAnsi="Calibri" w:cs="Calibri" w:eastAsia="Calibri"/>
          <w:b w:val="0"/>
          <w:i w:val="0"/>
          <w:sz w:val="21"/>
          <w:szCs w:val="21"/>
        </w:rPr>
        <w:t>Have the CEO sign the policy rather than the IT department, to show it is a business decision.</w:t>
      </w:r>
    </w:p>
    <w:p>
      <w:pPr>
        <w:pStyle w:val="ListBullet"/>
        <w:spacing w:after="40"/>
      </w:pPr>
      <w:r>
        <w:rPr>
          <w:rFonts w:ascii="Calibri" w:hAnsi="Calibri" w:cs="Calibri" w:eastAsia="Calibri"/>
          <w:b w:val="0"/>
          <w:i w:val="0"/>
          <w:sz w:val="21"/>
          <w:szCs w:val="21"/>
        </w:rPr>
        <w:t>Link the policy objectives to the metrics catalog so management can see progress each quarter.</w:t>
      </w:r>
    </w:p>
    <w:p>
      <w:pPr>
        <w:pStyle w:val="ListBullet"/>
        <w:spacing w:after="40"/>
      </w:pPr>
      <w:r>
        <w:rPr>
          <w:rFonts w:ascii="Calibri" w:hAnsi="Calibri" w:cs="Calibri" w:eastAsia="Calibri"/>
          <w:b w:val="0"/>
          <w:i w:val="0"/>
          <w:sz w:val="21"/>
          <w:szCs w:val="21"/>
        </w:rPr>
        <w:t>Track annual acknowledgment through the HR or learning system rather than paper forms.</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Copying a long generic policy that mixes policy, standard, and procedure content, so nobody reads it and every change needs top-level approval.</w:t>
      </w:r>
    </w:p>
    <w:p>
      <w:pPr>
        <w:pStyle w:val="ListBullet"/>
        <w:spacing w:after="40"/>
      </w:pPr>
      <w:r>
        <w:rPr>
          <w:rFonts w:ascii="Calibri" w:hAnsi="Calibri" w:cs="Calibri" w:eastAsia="Calibri"/>
          <w:b w:val="0"/>
          <w:i w:val="0"/>
          <w:sz w:val="21"/>
          <w:szCs w:val="21"/>
        </w:rPr>
        <w:t>Naming the IT department as the owner of all risk instead of business owners.</w:t>
      </w:r>
    </w:p>
    <w:p>
      <w:pPr>
        <w:pStyle w:val="ListBullet"/>
        <w:spacing w:after="40"/>
      </w:pPr>
      <w:r>
        <w:rPr>
          <w:rFonts w:ascii="Calibri" w:hAnsi="Calibri" w:cs="Calibri" w:eastAsia="Calibri"/>
          <w:b w:val="0"/>
          <w:i w:val="0"/>
          <w:sz w:val="21"/>
          <w:szCs w:val="21"/>
        </w:rPr>
        <w:t>Approving the policy once and never reviewing it.</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GV.PO-01: Cybersecurity policy is established, communicated, and enforced based on context, strategy, and priorities</w:t>
            </w:r>
          </w:p>
          <w:p>
            <w:r>
              <w:rPr>
                <w:rFonts w:ascii="Calibri" w:hAnsi="Calibri" w:cs="Calibri" w:eastAsia="Calibri"/>
                <w:b w:val="0"/>
                <w:i w:val="0"/>
                <w:sz w:val="18"/>
                <w:szCs w:val="18"/>
              </w:rPr>
              <w:t>GV.PO-02: Cybersecurity policy is reviewed, updated, communicated, and enforced to reflect changes</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Clause 5.2, Annex A.5.1</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PM-1, PL-1</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Clause 5.2 (documented information); PDPC Notification on Security Measures B.E. 2565</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GV-CHR-001: Cybersecurity Governance Charter</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GV-POL-002: Cybersecurity Risk Management Policy</w:t>
            </w:r>
          </w:p>
          <w:p>
            <w:r>
              <w:rPr>
                <w:rFonts w:ascii="Calibri" w:hAnsi="Calibri" w:cs="Calibri" w:eastAsia="Calibri"/>
                <w:b w:val="0"/>
                <w:i w:val="0"/>
                <w:sz w:val="18"/>
                <w:szCs w:val="18"/>
              </w:rPr>
              <w:t>GV-STD-001: Human Resources Security Standard</w:t>
            </w:r>
          </w:p>
          <w:p>
            <w:r>
              <w:rPr>
                <w:rFonts w:ascii="Calibri" w:hAnsi="Calibri" w:cs="Calibri" w:eastAsia="Calibri"/>
                <w:b w:val="0"/>
                <w:i w:val="0"/>
                <w:sz w:val="18"/>
                <w:szCs w:val="18"/>
              </w:rPr>
              <w:t>GV-PRC-002: Document Control Procedure</w:t>
            </w:r>
          </w:p>
          <w:p>
            <w:r>
              <w:rPr>
                <w:rFonts w:ascii="Calibri" w:hAnsi="Calibri" w:cs="Calibri" w:eastAsia="Calibri"/>
                <w:b w:val="0"/>
                <w:i w:val="0"/>
                <w:sz w:val="18"/>
                <w:szCs w:val="18"/>
              </w:rPr>
              <w:t>GV-POL-003: Acceptable Use Policy</w:t>
            </w:r>
          </w:p>
          <w:p>
            <w:r>
              <w:rPr>
                <w:rFonts w:ascii="Calibri" w:hAnsi="Calibri" w:cs="Calibri" w:eastAsia="Calibri"/>
                <w:b w:val="0"/>
                <w:i w:val="0"/>
                <w:sz w:val="18"/>
                <w:szCs w:val="18"/>
              </w:rPr>
              <w:t>GV-PRC-003: Policy Exception Management Procedure</w:t>
            </w:r>
          </w:p>
          <w:p>
            <w:r>
              <w:rPr>
                <w:rFonts w:ascii="Calibri" w:hAnsi="Calibri" w:cs="Calibri" w:eastAsia="Calibri"/>
                <w:b w:val="0"/>
                <w:i w:val="0"/>
                <w:sz w:val="18"/>
                <w:szCs w:val="18"/>
              </w:rPr>
              <w:t>GV-POL-004: Personal Data Protection Policy</w:t>
            </w:r>
          </w:p>
          <w:p>
            <w:r>
              <w:rPr>
                <w:rFonts w:ascii="Calibri" w:hAnsi="Calibri" w:cs="Calibri" w:eastAsia="Calibri"/>
                <w:b w:val="0"/>
                <w:i w:val="0"/>
                <w:sz w:val="18"/>
                <w:szCs w:val="18"/>
              </w:rPr>
              <w:t>GV-POL-006: Third-Party and Supply Chain Security Policy</w:t>
            </w:r>
          </w:p>
          <w:p>
            <w:r>
              <w:rPr>
                <w:rFonts w:ascii="Calibri" w:hAnsi="Calibri" w:cs="Calibri" w:eastAsia="Calibri"/>
                <w:b w:val="0"/>
                <w:i w:val="0"/>
                <w:sz w:val="18"/>
                <w:szCs w:val="18"/>
              </w:rPr>
              <w:t>ID-STD-001: Asset Management Standard</w:t>
            </w:r>
          </w:p>
          <w:p>
            <w:r>
              <w:rPr>
                <w:rFonts w:ascii="Calibri" w:hAnsi="Calibri" w:cs="Calibri" w:eastAsia="Calibri"/>
                <w:b w:val="0"/>
                <w:i w:val="0"/>
                <w:sz w:val="18"/>
                <w:szCs w:val="18"/>
              </w:rPr>
              <w:t>ID-STD-002: Vulnerability Scanning and Remediation Standard</w:t>
            </w:r>
          </w:p>
          <w:p>
            <w:r>
              <w:rPr>
                <w:rFonts w:ascii="Calibri" w:hAnsi="Calibri" w:cs="Calibri" w:eastAsia="Calibri"/>
                <w:b w:val="0"/>
                <w:i w:val="0"/>
                <w:sz w:val="18"/>
                <w:szCs w:val="18"/>
              </w:rPr>
              <w:t>ID-PRC-006: Continual Improvement and Corrective Action Procedure</w:t>
            </w:r>
          </w:p>
          <w:p>
            <w:r>
              <w:rPr>
                <w:rFonts w:ascii="Calibri" w:hAnsi="Calibri" w:cs="Calibri" w:eastAsia="Calibri"/>
                <w:b w:val="0"/>
                <w:i w:val="0"/>
                <w:sz w:val="18"/>
                <w:szCs w:val="18"/>
              </w:rPr>
              <w:t>PR-POL-001: Access Control Policy</w:t>
            </w:r>
          </w:p>
          <w:p>
            <w:r>
              <w:rPr>
                <w:rFonts w:ascii="Calibri" w:hAnsi="Calibri" w:cs="Calibri" w:eastAsia="Calibri"/>
                <w:b w:val="0"/>
                <w:i w:val="0"/>
                <w:sz w:val="18"/>
                <w:szCs w:val="18"/>
              </w:rPr>
              <w:t>PR-POL-002: Physical and Environmental Security Policy</w:t>
            </w:r>
          </w:p>
          <w:p>
            <w:r>
              <w:rPr>
                <w:rFonts w:ascii="Calibri" w:hAnsi="Calibri" w:cs="Calibri" w:eastAsia="Calibri"/>
                <w:b w:val="0"/>
                <w:i w:val="0"/>
                <w:sz w:val="18"/>
                <w:szCs w:val="18"/>
              </w:rPr>
              <w:t>PR-PLN-001: Security Awareness and Training Program</w:t>
            </w:r>
          </w:p>
          <w:p>
            <w:r>
              <w:rPr>
                <w:rFonts w:ascii="Calibri" w:hAnsi="Calibri" w:cs="Calibri" w:eastAsia="Calibri"/>
                <w:b w:val="0"/>
                <w:i w:val="0"/>
                <w:sz w:val="18"/>
                <w:szCs w:val="18"/>
              </w:rPr>
              <w:t>PR-POL-003: Data Protection and Classification Policy</w:t>
            </w:r>
          </w:p>
          <w:p>
            <w:r>
              <w:rPr>
                <w:rFonts w:ascii="Calibri" w:hAnsi="Calibri" w:cs="Calibri" w:eastAsia="Calibri"/>
                <w:b w:val="0"/>
                <w:i w:val="0"/>
                <w:sz w:val="18"/>
                <w:szCs w:val="18"/>
              </w:rPr>
              <w:t>PR-STD-010: Secure Configuration Baseline Standard</w:t>
            </w:r>
          </w:p>
          <w:p>
            <w:r>
              <w:rPr>
                <w:rFonts w:ascii="Calibri" w:hAnsi="Calibri" w:cs="Calibri" w:eastAsia="Calibri"/>
                <w:b w:val="0"/>
                <w:i w:val="0"/>
                <w:sz w:val="18"/>
                <w:szCs w:val="18"/>
              </w:rPr>
              <w:t>PR-PRC-006: Change Management Procedure</w:t>
            </w:r>
          </w:p>
          <w:p>
            <w:r>
              <w:rPr>
                <w:rFonts w:ascii="Calibri" w:hAnsi="Calibri" w:cs="Calibri" w:eastAsia="Calibri"/>
                <w:b w:val="0"/>
                <w:i w:val="0"/>
                <w:sz w:val="18"/>
                <w:szCs w:val="18"/>
              </w:rPr>
              <w:t>PR-STD-011: Logging Standard</w:t>
            </w:r>
          </w:p>
          <w:p>
            <w:r>
              <w:rPr>
                <w:rFonts w:ascii="Calibri" w:hAnsi="Calibri" w:cs="Calibri" w:eastAsia="Calibri"/>
                <w:b w:val="0"/>
                <w:i w:val="0"/>
                <w:sz w:val="18"/>
                <w:szCs w:val="18"/>
              </w:rPr>
              <w:t>PR-STD-012: Endpoint Protection Standard</w:t>
            </w:r>
          </w:p>
          <w:p>
            <w:r>
              <w:rPr>
                <w:rFonts w:ascii="Calibri" w:hAnsi="Calibri" w:cs="Calibri" w:eastAsia="Calibri"/>
                <w:b w:val="0"/>
                <w:i w:val="0"/>
                <w:sz w:val="18"/>
                <w:szCs w:val="18"/>
              </w:rPr>
              <w:t>PR-STD-013: Secure Software Development Standard</w:t>
            </w:r>
          </w:p>
          <w:p>
            <w:r>
              <w:rPr>
                <w:rFonts w:ascii="Calibri" w:hAnsi="Calibri" w:cs="Calibri" w:eastAsia="Calibri"/>
                <w:b w:val="0"/>
                <w:i w:val="0"/>
                <w:sz w:val="18"/>
                <w:szCs w:val="18"/>
              </w:rPr>
              <w:t>PR-STD-015: OT and Medical Device Security Standard</w:t>
            </w:r>
          </w:p>
          <w:p>
            <w:r>
              <w:rPr>
                <w:rFonts w:ascii="Calibri" w:hAnsi="Calibri" w:cs="Calibri" w:eastAsia="Calibri"/>
                <w:b w:val="0"/>
                <w:i w:val="0"/>
                <w:sz w:val="18"/>
                <w:szCs w:val="18"/>
              </w:rPr>
              <w:t>PR-STD-016: Network Security Standard</w:t>
            </w:r>
          </w:p>
          <w:p>
            <w:r>
              <w:rPr>
                <w:rFonts w:ascii="Calibri" w:hAnsi="Calibri" w:cs="Calibri" w:eastAsia="Calibri"/>
                <w:b w:val="0"/>
                <w:i w:val="0"/>
                <w:sz w:val="18"/>
                <w:szCs w:val="18"/>
              </w:rPr>
              <w:t>DE-STD-001: Security Monitoring Standard</w:t>
            </w:r>
          </w:p>
          <w:p>
            <w:r>
              <w:rPr>
                <w:rFonts w:ascii="Calibri" w:hAnsi="Calibri" w:cs="Calibri" w:eastAsia="Calibri"/>
                <w:b w:val="0"/>
                <w:i w:val="0"/>
                <w:sz w:val="18"/>
                <w:szCs w:val="18"/>
              </w:rPr>
              <w:t>RS-PLN-001: Cybersecurity Incident Response Plan</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GV-POL-001  |  Information Security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