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Acceptable Use Policy</w:t>
      </w:r>
    </w:p>
    <w:p>
      <w:pPr>
        <w:spacing w:after="80" w:before="0"/>
      </w:pPr>
      <w:r>
        <w:rPr>
          <w:rFonts w:ascii="Calibri" w:hAnsi="Calibri" w:cs="Calibri" w:eastAsia="Calibri"/>
          <w:b w:val="0"/>
          <w:i w:val="0"/>
          <w:color w:val="595959"/>
          <w:sz w:val="18"/>
          <w:szCs w:val="18"/>
        </w:rPr>
        <w:t>GV-POL-003  |  Policy  |  Policy (GV.PO)</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GV-POL-003</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Acceptable Use Policy</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Executive Officer (CEO)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10 August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10 August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1: Policy</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Policy</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Govern (GV)</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Policy (GV.PO)</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5.10, 6.7, and 7.7</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People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19 September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Executive Officer (CEO)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10 August 2026</w:t>
            </w:r>
          </w:p>
        </w:tc>
        <w:tc>
          <w:tcPr>
            <w:tcW w:type="dxa" w:w="3742"/>
          </w:tcPr>
          <w:p>
            <w:r/>
            <w:r>
              <w:rPr>
                <w:rFonts w:ascii="Calibri" w:hAnsi="Calibri" w:cs="Calibri" w:eastAsia="Calibri"/>
                <w:b w:val="0"/>
                <w:i w:val="0"/>
                <w:sz w:val="18"/>
                <w:szCs w:val="18"/>
              </w:rPr>
              <w:t>Updated in June 2026 after the email compromise attempt (INC-2026-014) to add the Report Phishing instruction and the rule on clinical messaging through personal LINE accounts.</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Executive Officer (CEO)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policy defines acceptable and prohibited use of Chaophraya Medical Center (CMC) information, systems, devices, email, internet, and messaging, so users know their responsibilities.</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policy applies to all employees, contractors, temporary staff, and third parties who access Chaophraya Medical Center (CMC) information or information systems, at all sites, including cloud services operated on behalf of Chaophraya Medical Center (CMC).</w:t>
      </w:r>
    </w:p>
    <w:p>
      <w:pPr>
        <w:pStyle w:val="Heading2"/>
        <w:keepNext/>
        <w:spacing w:before="120" w:after="80"/>
      </w:pPr>
      <w:r>
        <w:rPr>
          <w:rFonts w:ascii="Calibri" w:hAnsi="Calibri" w:cs="Calibri" w:eastAsia="Calibri"/>
          <w:b/>
          <w:i w:val="0"/>
          <w:color w:val="1F3864"/>
          <w:sz w:val="24"/>
          <w:szCs w:val="24"/>
          <w:bCs/>
        </w:rPr>
        <w:t>4.3 General Use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the principle that assets are provided for business use and set limits on personal use.</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CMC assets are provided for patient care and hospital operations. Limited personal use is allowed outside clinical duties.</w:t>
      </w:r>
    </w:p>
    <w:p>
      <w:pPr>
        <w:pStyle w:val="ListBullet"/>
        <w:spacing w:after="40"/>
      </w:pPr>
      <w:r>
        <w:rPr>
          <w:rFonts w:ascii="Calibri" w:hAnsi="Calibri" w:cs="Calibri" w:eastAsia="Calibri"/>
          <w:b w:val="0"/>
          <w:i w:val="0"/>
          <w:sz w:val="21"/>
          <w:szCs w:val="21"/>
        </w:rPr>
        <w:t>Clinical staff must never share HIS accounts, including at nursing stations during shift change.</w:t>
      </w:r>
    </w:p>
    <w:p>
      <w:pPr>
        <w:pStyle w:val="ListBullet"/>
        <w:spacing w:after="40"/>
      </w:pPr>
      <w:r>
        <w:rPr>
          <w:rFonts w:ascii="Calibri" w:hAnsi="Calibri" w:cs="Calibri" w:eastAsia="Calibri"/>
          <w:b w:val="0"/>
          <w:i w:val="0"/>
          <w:sz w:val="21"/>
          <w:szCs w:val="21"/>
        </w:rPr>
        <w:t>Shared clinical workstations log off automatically after 10 minutes of inactivity; users must tap out when leaving.</w:t>
      </w:r>
    </w:p>
    <w:p>
      <w:pPr>
        <w:pStyle w:val="ListBullet"/>
        <w:spacing w:after="40"/>
      </w:pPr>
      <w:r>
        <w:rPr>
          <w:rFonts w:ascii="Calibri" w:hAnsi="Calibri" w:cs="Calibri" w:eastAsia="Calibri"/>
          <w:b w:val="0"/>
          <w:i w:val="0"/>
          <w:sz w:val="21"/>
          <w:szCs w:val="21"/>
        </w:rPr>
        <w:t>Patient documents must not be left at nursing stations, printers, or on screens visible to visitors.</w:t>
      </w:r>
    </w:p>
    <w:p>
      <w:pPr>
        <w:pStyle w:val="Heading2"/>
        <w:keepNext/>
        <w:spacing w:before="120" w:after="80"/>
      </w:pPr>
      <w:r>
        <w:rPr>
          <w:rFonts w:ascii="Calibri" w:hAnsi="Calibri" w:cs="Calibri" w:eastAsia="Calibri"/>
          <w:b/>
          <w:i w:val="0"/>
          <w:color w:val="1F3864"/>
          <w:sz w:val="24"/>
          <w:szCs w:val="24"/>
          <w:bCs/>
        </w:rPr>
        <w:t>4.4 Prohibited Activities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activities that are not allowed under any circumstances.</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Accessing information or systems without authorization, or attempting to bypass security controls.</w:t>
      </w:r>
    </w:p>
    <w:p>
      <w:pPr>
        <w:pStyle w:val="ListBullet"/>
        <w:spacing w:after="40"/>
      </w:pPr>
      <w:r>
        <w:rPr>
          <w:rFonts w:ascii="Calibri" w:hAnsi="Calibri" w:cs="Calibri" w:eastAsia="Calibri"/>
          <w:b w:val="0"/>
          <w:i w:val="0"/>
          <w:sz w:val="21"/>
          <w:szCs w:val="21"/>
        </w:rPr>
        <w:t>Installing unapproved software or connecting unapproved devices to the network.</w:t>
      </w:r>
    </w:p>
    <w:p>
      <w:pPr>
        <w:pStyle w:val="ListBullet"/>
        <w:spacing w:after="40"/>
      </w:pPr>
      <w:r>
        <w:rPr>
          <w:rFonts w:ascii="Calibri" w:hAnsi="Calibri" w:cs="Calibri" w:eastAsia="Calibri"/>
          <w:b w:val="0"/>
          <w:i w:val="0"/>
          <w:sz w:val="21"/>
          <w:szCs w:val="21"/>
        </w:rPr>
        <w:t>Sending confidential or personal data to personal email, personal cloud storage, or public AI tools.</w:t>
      </w:r>
    </w:p>
    <w:p>
      <w:pPr>
        <w:pStyle w:val="ListBullet"/>
        <w:spacing w:after="40"/>
      </w:pPr>
      <w:r>
        <w:rPr>
          <w:rFonts w:ascii="Calibri" w:hAnsi="Calibri" w:cs="Calibri" w:eastAsia="Calibri"/>
          <w:b w:val="0"/>
          <w:i w:val="0"/>
          <w:sz w:val="21"/>
          <w:szCs w:val="21"/>
        </w:rPr>
        <w:t>Using organization systems for illegal activity, harassment, or content that breaches the Computer Crime Act B.E. 2550.</w:t>
      </w:r>
    </w:p>
    <w:p>
      <w:pPr>
        <w:pStyle w:val="ListBullet"/>
        <w:spacing w:after="40"/>
      </w:pPr>
      <w:r>
        <w:rPr>
          <w:rFonts w:ascii="Calibri" w:hAnsi="Calibri" w:cs="Calibri" w:eastAsia="Calibri"/>
          <w:b w:val="0"/>
          <w:i w:val="0"/>
          <w:sz w:val="21"/>
          <w:szCs w:val="21"/>
        </w:rPr>
        <w:t>Disabling antivirus, endpoint detection and response (EDR), encryption, or logging.</w:t>
      </w:r>
    </w:p>
    <w:p>
      <w:pPr>
        <w:pStyle w:val="Heading2"/>
        <w:keepNext/>
        <w:spacing w:before="120" w:after="80"/>
      </w:pPr>
      <w:r>
        <w:rPr>
          <w:rFonts w:ascii="Calibri" w:hAnsi="Calibri" w:cs="Calibri" w:eastAsia="Calibri"/>
          <w:b/>
          <w:i w:val="0"/>
          <w:color w:val="1F3864"/>
          <w:sz w:val="24"/>
          <w:szCs w:val="24"/>
          <w:bCs/>
        </w:rPr>
        <w:t>4.5 Email, Messaging, and Social Media</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Set rules for business communication channels and public posting.</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Use Microsoft Teams and CMC email for business communication. Clinical teams must not send patient images or results through personal LINE accounts; CMC provides an approved secure clinical messaging option.</w:t>
      </w:r>
    </w:p>
    <w:p>
      <w:pPr>
        <w:pStyle w:val="ListBullet"/>
        <w:spacing w:after="40"/>
      </w:pPr>
      <w:r>
        <w:rPr>
          <w:rFonts w:ascii="Calibri" w:hAnsi="Calibri" w:cs="Calibri" w:eastAsia="Calibri"/>
          <w:b w:val="0"/>
          <w:i w:val="0"/>
          <w:sz w:val="21"/>
          <w:szCs w:val="21"/>
        </w:rPr>
        <w:t>Report suspicious email with the Report Phishing button in Outlook.</w:t>
      </w:r>
    </w:p>
    <w:p>
      <w:pPr>
        <w:pStyle w:val="ListBullet"/>
        <w:spacing w:after="40"/>
      </w:pPr>
      <w:r>
        <w:rPr>
          <w:rFonts w:ascii="Calibri" w:hAnsi="Calibri" w:cs="Calibri" w:eastAsia="Calibri"/>
          <w:b w:val="0"/>
          <w:i w:val="0"/>
          <w:sz w:val="21"/>
          <w:szCs w:val="21"/>
        </w:rPr>
        <w:t>Staff must not post photos of patients, wards, screens, or records on social media.</w:t>
      </w:r>
    </w:p>
    <w:p>
      <w:pPr>
        <w:pStyle w:val="Heading2"/>
        <w:keepNext/>
        <w:spacing w:before="120" w:after="80"/>
      </w:pPr>
      <w:r>
        <w:rPr>
          <w:rFonts w:ascii="Calibri" w:hAnsi="Calibri" w:cs="Calibri" w:eastAsia="Calibri"/>
          <w:b/>
          <w:i w:val="0"/>
          <w:color w:val="1F3864"/>
          <w:sz w:val="24"/>
          <w:szCs w:val="24"/>
          <w:bCs/>
        </w:rPr>
        <w:t>4.6 Monitoring and Privacy</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Inform users that use of organization systems is monitored, consistent with the PDPA privacy notice for employees.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Chaophraya Medical Center (CMC) monitors the use of its systems, email, and internet to protect security and meet legal obligations, including log retention under the Computer Crime Act B.E. 2550 s.26. Monitoring follows the employee privacy notice and is proportionate to the purpose.</w:t>
      </w:r>
    </w:p>
    <w:p>
      <w:pPr>
        <w:pStyle w:val="Heading2"/>
        <w:keepNext/>
        <w:spacing w:before="120" w:after="80"/>
      </w:pPr>
      <w:r>
        <w:rPr>
          <w:rFonts w:ascii="Calibri" w:hAnsi="Calibri" w:cs="Calibri" w:eastAsia="Calibri"/>
          <w:b/>
          <w:i w:val="0"/>
          <w:color w:val="1F3864"/>
          <w:sz w:val="24"/>
          <w:szCs w:val="24"/>
          <w:bCs/>
        </w:rPr>
        <w:t>4.7 User Acknowledgment</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Require each user to acknowledge the policy before receiving access and each year.</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I have read and understood the Acceptable Use Policy and agree to follow it. I understand that violations may lead to disciplinary action and legal liability.</w:t>
      </w:r>
    </w:p>
    <w:p>
      <w:pPr>
        <w:spacing w:after="80" w:before="0"/>
      </w:pPr>
      <w:r>
        <w:rPr>
          <w:rFonts w:ascii="Calibri" w:hAnsi="Calibri" w:cs="Calibri" w:eastAsia="Calibri"/>
          <w:b w:val="0"/>
          <w:i w:val="0"/>
          <w:sz w:val="21"/>
          <w:szCs w:val="21"/>
        </w:rPr>
        <w:t>Name: ____________  Signature: ____________  Date: ____________</w:t>
      </w:r>
    </w:p>
    <w:p>
      <w:pPr>
        <w:pStyle w:val="Heading2"/>
        <w:keepNext/>
        <w:spacing w:before="120" w:after="80"/>
      </w:pPr>
      <w:r>
        <w:rPr>
          <w:rFonts w:ascii="Calibri" w:hAnsi="Calibri" w:cs="Calibri" w:eastAsia="Calibri"/>
          <w:b/>
          <w:i w:val="0"/>
          <w:color w:val="1F3864"/>
          <w:sz w:val="24"/>
          <w:szCs w:val="24"/>
          <w:bCs/>
        </w:rPr>
        <w:t>4.8 Compliance and Exceptions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that compliance is mandatory, how compliance is verified, how exceptions are requested, and the consequence of violation.</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Compliance with this policy is mandatory for everyone in scope.</w:t>
      </w:r>
    </w:p>
    <w:p>
      <w:pPr>
        <w:pStyle w:val="ListBullet"/>
        <w:spacing w:after="40"/>
      </w:pPr>
      <w:r>
        <w:rPr>
          <w:rFonts w:ascii="Calibri" w:hAnsi="Calibri" w:cs="Calibri" w:eastAsia="Calibri"/>
          <w:b w:val="0"/>
          <w:i w:val="0"/>
          <w:sz w:val="21"/>
          <w:szCs w:val="21"/>
        </w:rPr>
        <w:t>The Security Manager verifies compliance through periodic reviews, technical checks, and internal audit (GV-PRC-007).</w:t>
      </w:r>
    </w:p>
    <w:p>
      <w:pPr>
        <w:pStyle w:val="ListBullet"/>
        <w:spacing w:after="40"/>
      </w:pPr>
      <w:r>
        <w:rPr>
          <w:rFonts w:ascii="Calibri" w:hAnsi="Calibri" w:cs="Calibri" w:eastAsia="Calibri"/>
          <w:b w:val="0"/>
          <w:i w:val="0"/>
          <w:sz w:val="21"/>
          <w:szCs w:val="21"/>
        </w:rPr>
        <w:t>Requests for deviation follow the Policy Exception Management Procedure (GV-PRC-003). No exception is valid without written approval and an expiry date.</w:t>
      </w:r>
    </w:p>
    <w:p>
      <w:pPr>
        <w:pStyle w:val="ListBullet"/>
        <w:spacing w:after="40"/>
      </w:pPr>
      <w:r>
        <w:rPr>
          <w:rFonts w:ascii="Calibri" w:hAnsi="Calibri" w:cs="Calibri" w:eastAsia="Calibri"/>
          <w:b w:val="0"/>
          <w:i w:val="0"/>
          <w:sz w:val="21"/>
          <w:szCs w:val="21"/>
        </w:rPr>
        <w:t>Violations may result in disciplinary action under the Human Resources Security Standard (GV-STD-001) and applicable law.</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Write the policy in plain language with examples relevant to each staff group; test readability with non-IT staff.</w:t>
      </w:r>
    </w:p>
    <w:p>
      <w:pPr>
        <w:pStyle w:val="ListBullet"/>
        <w:spacing w:after="40"/>
      </w:pPr>
      <w:r>
        <w:rPr>
          <w:rFonts w:ascii="Calibri" w:hAnsi="Calibri" w:cs="Calibri" w:eastAsia="Calibri"/>
          <w:b w:val="0"/>
          <w:i w:val="0"/>
          <w:sz w:val="21"/>
          <w:szCs w:val="21"/>
        </w:rPr>
        <w:t>Collect acknowledgment electronically at first login and during annual training.</w:t>
      </w:r>
    </w:p>
    <w:p>
      <w:pPr>
        <w:pStyle w:val="ListBullet"/>
        <w:spacing w:after="40"/>
      </w:pPr>
      <w:r>
        <w:rPr>
          <w:rFonts w:ascii="Calibri" w:hAnsi="Calibri" w:cs="Calibri" w:eastAsia="Calibri"/>
          <w:b w:val="0"/>
          <w:i w:val="0"/>
          <w:sz w:val="21"/>
          <w:szCs w:val="21"/>
        </w:rPr>
        <w:t>Pair every prohibition with an approved alternative (for example, an approved file-sharing tool) so users are not pushed toward shadow IT.</w:t>
      </w:r>
    </w:p>
    <w:p>
      <w:pPr>
        <w:pStyle w:val="ListBullet"/>
        <w:spacing w:after="40"/>
      </w:pPr>
      <w:r>
        <w:rPr>
          <w:rFonts w:ascii="Calibri" w:hAnsi="Calibri" w:cs="Calibri" w:eastAsia="Calibri"/>
          <w:b w:val="0"/>
          <w:i w:val="0"/>
          <w:sz w:val="21"/>
          <w:szCs w:val="21"/>
        </w:rPr>
        <w:t>Align monitoring statements with the employee privacy notice to stay consistent with the PDPA.</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Banning tools staff depend on without offering an approved option, which drives data into personal apps.</w:t>
      </w:r>
    </w:p>
    <w:p>
      <w:pPr>
        <w:pStyle w:val="ListBullet"/>
        <w:spacing w:after="40"/>
      </w:pPr>
      <w:r>
        <w:rPr>
          <w:rFonts w:ascii="Calibri" w:hAnsi="Calibri" w:cs="Calibri" w:eastAsia="Calibri"/>
          <w:b w:val="0"/>
          <w:i w:val="0"/>
          <w:sz w:val="21"/>
          <w:szCs w:val="21"/>
        </w:rPr>
        <w:t>Monitoring staff without telling them, which conflicts with PDPA transparency duties.</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GV.PO-01: Cybersecurity policy is established, communicated, and enforced based on context, strategy, and priorities</w:t>
            </w:r>
          </w:p>
          <w:p>
            <w:r>
              <w:rPr>
                <w:rFonts w:ascii="Calibri" w:hAnsi="Calibri" w:cs="Calibri" w:eastAsia="Calibri"/>
                <w:b w:val="0"/>
                <w:i w:val="0"/>
                <w:sz w:val="18"/>
                <w:szCs w:val="18"/>
              </w:rPr>
              <w:t>PR.AT-01: Personnel are provided with awareness and training for general tasks with cybersecurity risks in mind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A.5.10, Annex A.6.7, Annex A.7.7</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PL-4</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5.10, 6.7, and 7.7</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GV-POL-001: Information Security Policy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GV-POL-005: Generative AI Acceptable Use Policy</w:t>
            </w:r>
          </w:p>
          <w:p>
            <w:r>
              <w:rPr>
                <w:rFonts w:ascii="Calibri" w:hAnsi="Calibri" w:cs="Calibri" w:eastAsia="Calibri"/>
                <w:b w:val="0"/>
                <w:i w:val="0"/>
                <w:sz w:val="18"/>
                <w:szCs w:val="18"/>
              </w:rPr>
              <w:t>PR-STD-009: Mobile Device and BYOD Standard</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GV-POL-003  |  Acceptable Use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