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Personal Data Protection Policy</w:t>
      </w:r>
    </w:p>
    <w:p>
      <w:pPr>
        <w:spacing w:after="80" w:before="0"/>
      </w:pPr>
      <w:r>
        <w:rPr>
          <w:rFonts w:ascii="Calibri" w:hAnsi="Calibri" w:cs="Calibri" w:eastAsia="Calibri"/>
          <w:b w:val="0"/>
          <w:i w:val="0"/>
          <w:color w:val="595959"/>
          <w:sz w:val="18"/>
          <w:szCs w:val="18"/>
        </w:rPr>
        <w:t>GV-POL-004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Personal Data Protection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6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6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s.37(1); PDPC Notification on Security Measures B.E. 2565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14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6 August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the principles and responsibilities for collecting, using, disclosing, and protecting personal data in line with the Personal Data Protection Act B.E. 2562 (PDPA).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Data Protection Principles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processing principles the organization follows.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CMC processes patient health data under PDPA s.26, mainly for preventive medicine, medical diagnosis, and treatment, and under explicit consent where required.</w:t>
      </w:r>
    </w:p>
    <w:p>
      <w:pPr>
        <w:pStyle w:val="ListBullet"/>
        <w:spacing w:after="40"/>
      </w:pPr>
      <w:r>
        <w:rPr>
          <w:rFonts w:ascii="Calibri" w:hAnsi="Calibri" w:cs="Calibri" w:eastAsia="Calibri"/>
          <w:b w:val="0"/>
          <w:i w:val="0"/>
          <w:sz w:val="21"/>
          <w:szCs w:val="21"/>
        </w:rPr>
        <w:t>CMC collects only data needed for care, billing, and legal obligations, and informs patients through the patient privacy notice at registration.</w:t>
      </w:r>
    </w:p>
    <w:p>
      <w:pPr>
        <w:pStyle w:val="ListBullet"/>
        <w:spacing w:after="40"/>
      </w:pPr>
      <w:r>
        <w:rPr>
          <w:rFonts w:ascii="Calibri" w:hAnsi="Calibri" w:cs="Calibri" w:eastAsia="Calibri"/>
          <w:b w:val="0"/>
          <w:i w:val="0"/>
          <w:sz w:val="21"/>
          <w:szCs w:val="21"/>
        </w:rPr>
        <w:t>Medical records are retained according to Ministry of Public Health requirements and HA standards [VERIFY retention period].</w:t>
      </w:r>
    </w:p>
    <w:p>
      <w:pPr>
        <w:pStyle w:val="ListBullet"/>
        <w:spacing w:after="40"/>
      </w:pPr>
      <w:r>
        <w:rPr>
          <w:rFonts w:ascii="Calibri" w:hAnsi="Calibri" w:cs="Calibri" w:eastAsia="Calibri"/>
          <w:b w:val="0"/>
          <w:i w:val="0"/>
          <w:sz w:val="21"/>
          <w:szCs w:val="21"/>
        </w:rPr>
        <w:t>Security measures follow the PDPC Notification on Security Measures B.E. 2565 and this document pack.</w:t>
      </w:r>
    </w:p>
    <w:p>
      <w:pPr>
        <w:pStyle w:val="ListBullet"/>
        <w:spacing w:after="40"/>
      </w:pPr>
      <w:r>
        <w:rPr>
          <w:rFonts w:ascii="Calibri" w:hAnsi="Calibri" w:cs="Calibri" w:eastAsia="Calibri"/>
          <w:b w:val="0"/>
          <w:i w:val="0"/>
          <w:sz w:val="21"/>
          <w:szCs w:val="21"/>
        </w:rPr>
        <w:t>Patients exercise their rights through the Medical Records Department and the DPO.</w:t>
      </w:r>
    </w:p>
    <w:p>
      <w:pPr>
        <w:pStyle w:val="Heading2"/>
        <w:keepNext/>
        <w:spacing w:before="120" w:after="80"/>
      </w:pPr>
      <w:r>
        <w:rPr>
          <w:rFonts w:ascii="Calibri" w:hAnsi="Calibri" w:cs="Calibri" w:eastAsia="Calibri"/>
          <w:b/>
          <w:i w:val="0"/>
          <w:color w:val="1F3864"/>
          <w:sz w:val="24"/>
          <w:szCs w:val="24"/>
          <w:bCs/>
        </w:rPr>
        <w:t>4.4 Privacy Program Components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documents and processes that implement the policy.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864"/>
          </w:tcPr>
          <w:p>
            <w:r/>
            <w:r>
              <w:rPr>
                <w:rFonts w:ascii="Calibri" w:hAnsi="Calibri" w:cs="Calibri" w:eastAsia="Calibri"/>
                <w:b/>
                <w:i w:val="0"/>
                <w:color w:val="FFFFFF"/>
                <w:sz w:val="18"/>
                <w:szCs w:val="18"/>
                <w:bCs/>
              </w:rPr>
              <w:t>Component</w:t>
            </w:r>
          </w:p>
        </w:tc>
        <w:tc>
          <w:tcPr>
            <w:tcW w:type="dxa" w:w="3118"/>
            <w:shd w:val="clear" w:color="auto" w:fill="1F3864"/>
          </w:tcPr>
          <w:p>
            <w:r/>
            <w:r>
              <w:rPr>
                <w:rFonts w:ascii="Calibri" w:hAnsi="Calibri" w:cs="Calibri" w:eastAsia="Calibri"/>
                <w:b/>
                <w:i w:val="0"/>
                <w:color w:val="FFFFFF"/>
                <w:sz w:val="18"/>
                <w:szCs w:val="18"/>
                <w:bCs/>
              </w:rPr>
              <w:t>Document</w:t>
            </w:r>
          </w:p>
        </w:tc>
        <w:tc>
          <w:tcPr>
            <w:tcW w:type="dxa" w:w="3118"/>
            <w:shd w:val="clear" w:color="auto" w:fill="1F3864"/>
          </w:tcPr>
          <w:p>
            <w:r/>
            <w:r>
              <w:rPr>
                <w:rFonts w:ascii="Calibri" w:hAnsi="Calibri" w:cs="Calibri" w:eastAsia="Calibri"/>
                <w:b/>
                <w:i w:val="0"/>
                <w:color w:val="FFFFFF"/>
                <w:sz w:val="18"/>
                <w:szCs w:val="18"/>
                <w:bCs/>
              </w:rPr>
              <w:t>Legal basis</w:t>
            </w:r>
          </w:p>
        </w:tc>
      </w:tr>
      <w:tr>
        <w:tc>
          <w:tcPr>
            <w:tcW w:type="dxa" w:w="3118"/>
          </w:tcPr>
          <w:p>
            <w:r/>
            <w:r>
              <w:rPr>
                <w:rFonts w:ascii="Calibri" w:hAnsi="Calibri" w:cs="Calibri" w:eastAsia="Calibri"/>
                <w:b w:val="0"/>
                <w:i w:val="0"/>
                <w:sz w:val="18"/>
                <w:szCs w:val="18"/>
              </w:rPr>
              <w:t>Record of processing activities</w:t>
            </w:r>
          </w:p>
        </w:tc>
        <w:tc>
          <w:tcPr>
            <w:tcW w:type="dxa" w:w="3118"/>
          </w:tcPr>
          <w:p>
            <w:r/>
            <w:r>
              <w:rPr>
                <w:rFonts w:ascii="Calibri" w:hAnsi="Calibri" w:cs="Calibri" w:eastAsia="Calibri"/>
                <w:b w:val="0"/>
                <w:i w:val="0"/>
                <w:sz w:val="18"/>
                <w:szCs w:val="18"/>
              </w:rPr>
              <w:t>GV-REG-007</w:t>
            </w:r>
          </w:p>
        </w:tc>
        <w:tc>
          <w:tcPr>
            <w:tcW w:type="dxa" w:w="3118"/>
          </w:tcPr>
          <w:p>
            <w:r/>
            <w:r>
              <w:rPr>
                <w:rFonts w:ascii="Calibri" w:hAnsi="Calibri" w:cs="Calibri" w:eastAsia="Calibri"/>
                <w:b w:val="0"/>
                <w:i w:val="0"/>
                <w:sz w:val="18"/>
                <w:szCs w:val="18"/>
              </w:rPr>
              <w:t>PDPA s.39</w:t>
            </w:r>
          </w:p>
        </w:tc>
      </w:tr>
      <w:tr>
        <w:tc>
          <w:tcPr>
            <w:tcW w:type="dxa" w:w="3118"/>
          </w:tcPr>
          <w:p>
            <w:r/>
            <w:r>
              <w:rPr>
                <w:rFonts w:ascii="Calibri" w:hAnsi="Calibri" w:cs="Calibri" w:eastAsia="Calibri"/>
                <w:b w:val="0"/>
                <w:i w:val="0"/>
                <w:sz w:val="18"/>
                <w:szCs w:val="18"/>
              </w:rPr>
              <w:t>Privacy notices</w:t>
            </w:r>
          </w:p>
        </w:tc>
        <w:tc>
          <w:tcPr>
            <w:tcW w:type="dxa" w:w="3118"/>
          </w:tcPr>
          <w:p>
            <w:r/>
            <w:r>
              <w:rPr>
                <w:rFonts w:ascii="Calibri" w:hAnsi="Calibri" w:cs="Calibri" w:eastAsia="Calibri"/>
                <w:b w:val="0"/>
                <w:i w:val="0"/>
                <w:sz w:val="18"/>
                <w:szCs w:val="18"/>
              </w:rPr>
              <w:t>GV-TPL-002</w:t>
            </w:r>
          </w:p>
        </w:tc>
        <w:tc>
          <w:tcPr>
            <w:tcW w:type="dxa" w:w="3118"/>
          </w:tcPr>
          <w:p>
            <w:r/>
            <w:r>
              <w:rPr>
                <w:rFonts w:ascii="Calibri" w:hAnsi="Calibri" w:cs="Calibri" w:eastAsia="Calibri"/>
                <w:b w:val="0"/>
                <w:i w:val="0"/>
                <w:sz w:val="18"/>
                <w:szCs w:val="18"/>
              </w:rPr>
              <w:t>PDPA s.23</w:t>
            </w:r>
          </w:p>
        </w:tc>
      </w:tr>
      <w:tr>
        <w:tc>
          <w:tcPr>
            <w:tcW w:type="dxa" w:w="3118"/>
          </w:tcPr>
          <w:p>
            <w:r/>
            <w:r>
              <w:rPr>
                <w:rFonts w:ascii="Calibri" w:hAnsi="Calibri" w:cs="Calibri" w:eastAsia="Calibri"/>
                <w:b w:val="0"/>
                <w:i w:val="0"/>
                <w:sz w:val="18"/>
                <w:szCs w:val="18"/>
              </w:rPr>
              <w:t>Data protection impact assessment</w:t>
            </w:r>
          </w:p>
        </w:tc>
        <w:tc>
          <w:tcPr>
            <w:tcW w:type="dxa" w:w="3118"/>
          </w:tcPr>
          <w:p>
            <w:r/>
            <w:r>
              <w:rPr>
                <w:rFonts w:ascii="Calibri" w:hAnsi="Calibri" w:cs="Calibri" w:eastAsia="Calibri"/>
                <w:b w:val="0"/>
                <w:i w:val="0"/>
                <w:sz w:val="18"/>
                <w:szCs w:val="18"/>
              </w:rPr>
              <w:t>GV-PRC-004, GV-TPL-003</w:t>
            </w:r>
          </w:p>
        </w:tc>
        <w:tc>
          <w:tcPr>
            <w:tcW w:type="dxa" w:w="3118"/>
          </w:tcPr>
          <w:p>
            <w:r/>
            <w:r>
              <w:rPr>
                <w:rFonts w:ascii="Calibri" w:hAnsi="Calibri" w:cs="Calibri" w:eastAsia="Calibri"/>
                <w:b w:val="0"/>
                <w:i w:val="0"/>
                <w:sz w:val="18"/>
                <w:szCs w:val="18"/>
              </w:rPr>
              <w:t>Supports PDPA s.37(1)</w:t>
            </w:r>
          </w:p>
        </w:tc>
      </w:tr>
      <w:tr>
        <w:tc>
          <w:tcPr>
            <w:tcW w:type="dxa" w:w="3118"/>
          </w:tcPr>
          <w:p>
            <w:r/>
            <w:r>
              <w:rPr>
                <w:rFonts w:ascii="Calibri" w:hAnsi="Calibri" w:cs="Calibri" w:eastAsia="Calibri"/>
                <w:b w:val="0"/>
                <w:i w:val="0"/>
                <w:sz w:val="18"/>
                <w:szCs w:val="18"/>
              </w:rPr>
              <w:t>Data subject rights</w:t>
            </w:r>
          </w:p>
        </w:tc>
        <w:tc>
          <w:tcPr>
            <w:tcW w:type="dxa" w:w="3118"/>
          </w:tcPr>
          <w:p>
            <w:r/>
            <w:r>
              <w:rPr>
                <w:rFonts w:ascii="Calibri" w:hAnsi="Calibri" w:cs="Calibri" w:eastAsia="Calibri"/>
                <w:b w:val="0"/>
                <w:i w:val="0"/>
                <w:sz w:val="18"/>
                <w:szCs w:val="18"/>
              </w:rPr>
              <w:t>GV-PRC-005, GV-FRM-005</w:t>
            </w:r>
          </w:p>
        </w:tc>
        <w:tc>
          <w:tcPr>
            <w:tcW w:type="dxa" w:w="3118"/>
          </w:tcPr>
          <w:p>
            <w:r/>
            <w:r>
              <w:rPr>
                <w:rFonts w:ascii="Calibri" w:hAnsi="Calibri" w:cs="Calibri" w:eastAsia="Calibri"/>
                <w:b w:val="0"/>
                <w:i w:val="0"/>
                <w:sz w:val="18"/>
                <w:szCs w:val="18"/>
              </w:rPr>
              <w:t>PDPA s.30 to s.36</w:t>
            </w:r>
          </w:p>
        </w:tc>
      </w:tr>
      <w:tr>
        <w:tc>
          <w:tcPr>
            <w:tcW w:type="dxa" w:w="3118"/>
          </w:tcPr>
          <w:p>
            <w:r/>
            <w:r>
              <w:rPr>
                <w:rFonts w:ascii="Calibri" w:hAnsi="Calibri" w:cs="Calibri" w:eastAsia="Calibri"/>
                <w:b w:val="0"/>
                <w:i w:val="0"/>
                <w:sz w:val="18"/>
                <w:szCs w:val="18"/>
              </w:rPr>
              <w:t>Processor agreements</w:t>
            </w:r>
          </w:p>
        </w:tc>
        <w:tc>
          <w:tcPr>
            <w:tcW w:type="dxa" w:w="3118"/>
          </w:tcPr>
          <w:p>
            <w:r/>
            <w:r>
              <w:rPr>
                <w:rFonts w:ascii="Calibri" w:hAnsi="Calibri" w:cs="Calibri" w:eastAsia="Calibri"/>
                <w:b w:val="0"/>
                <w:i w:val="0"/>
                <w:sz w:val="18"/>
                <w:szCs w:val="18"/>
              </w:rPr>
              <w:t>GV-TPL-004</w:t>
            </w:r>
          </w:p>
        </w:tc>
        <w:tc>
          <w:tcPr>
            <w:tcW w:type="dxa" w:w="3118"/>
          </w:tcPr>
          <w:p>
            <w:r/>
            <w:r>
              <w:rPr>
                <w:rFonts w:ascii="Calibri" w:hAnsi="Calibri" w:cs="Calibri" w:eastAsia="Calibri"/>
                <w:b w:val="0"/>
                <w:i w:val="0"/>
                <w:sz w:val="18"/>
                <w:szCs w:val="18"/>
              </w:rPr>
              <w:t>PDPA s.40</w:t>
            </w:r>
          </w:p>
        </w:tc>
      </w:tr>
      <w:tr>
        <w:tc>
          <w:tcPr>
            <w:tcW w:type="dxa" w:w="3118"/>
          </w:tcPr>
          <w:p>
            <w:r/>
            <w:r>
              <w:rPr>
                <w:rFonts w:ascii="Calibri" w:hAnsi="Calibri" w:cs="Calibri" w:eastAsia="Calibri"/>
                <w:b w:val="0"/>
                <w:i w:val="0"/>
                <w:sz w:val="18"/>
                <w:szCs w:val="18"/>
              </w:rPr>
              <w:t>Breach notification</w:t>
            </w:r>
          </w:p>
        </w:tc>
        <w:tc>
          <w:tcPr>
            <w:tcW w:type="dxa" w:w="3118"/>
          </w:tcPr>
          <w:p>
            <w:r/>
            <w:r>
              <w:rPr>
                <w:rFonts w:ascii="Calibri" w:hAnsi="Calibri" w:cs="Calibri" w:eastAsia="Calibri"/>
                <w:b w:val="0"/>
                <w:i w:val="0"/>
                <w:sz w:val="18"/>
                <w:szCs w:val="18"/>
              </w:rPr>
              <w:t>RS-PLB-003, RS-PRC-003</w:t>
            </w:r>
          </w:p>
        </w:tc>
        <w:tc>
          <w:tcPr>
            <w:tcW w:type="dxa" w:w="3118"/>
          </w:tcPr>
          <w:p>
            <w:r/>
            <w:r>
              <w:rPr>
                <w:rFonts w:ascii="Calibri" w:hAnsi="Calibri" w:cs="Calibri" w:eastAsia="Calibri"/>
                <w:b w:val="0"/>
                <w:i w:val="0"/>
                <w:sz w:val="18"/>
                <w:szCs w:val="18"/>
              </w:rPr>
              <w:t>PDPA s.37(4)</w:t>
            </w:r>
          </w:p>
        </w:tc>
      </w:tr>
      <w:tr>
        <w:tc>
          <w:tcPr>
            <w:tcW w:type="dxa" w:w="3118"/>
          </w:tcPr>
          <w:p>
            <w:r/>
            <w:r>
              <w:rPr>
                <w:rFonts w:ascii="Calibri" w:hAnsi="Calibri" w:cs="Calibri" w:eastAsia="Calibri"/>
                <w:b w:val="0"/>
                <w:i w:val="0"/>
                <w:sz w:val="18"/>
                <w:szCs w:val="18"/>
              </w:rPr>
              <w:t>Retention and disposal</w:t>
            </w:r>
          </w:p>
        </w:tc>
        <w:tc>
          <w:tcPr>
            <w:tcW w:type="dxa" w:w="3118"/>
          </w:tcPr>
          <w:p>
            <w:r/>
            <w:r>
              <w:rPr>
                <w:rFonts w:ascii="Calibri" w:hAnsi="Calibri" w:cs="Calibri" w:eastAsia="Calibri"/>
                <w:b w:val="0"/>
                <w:i w:val="0"/>
                <w:sz w:val="18"/>
                <w:szCs w:val="18"/>
              </w:rPr>
              <w:t>PR-STD-007</w:t>
            </w:r>
          </w:p>
        </w:tc>
        <w:tc>
          <w:tcPr>
            <w:tcW w:type="dxa" w:w="3118"/>
          </w:tcPr>
          <w:p>
            <w:r/>
            <w:r>
              <w:rPr>
                <w:rFonts w:ascii="Calibri" w:hAnsi="Calibri" w:cs="Calibri" w:eastAsia="Calibri"/>
                <w:b w:val="0"/>
                <w:i w:val="0"/>
                <w:sz w:val="18"/>
                <w:szCs w:val="18"/>
              </w:rPr>
              <w:t>PDPA s.37(3)</w:t>
            </w:r>
          </w:p>
        </w:tc>
      </w:tr>
    </w:tbl>
    <w:p>
      <w:pPr>
        <w:spacing w:after="40"/>
      </w:pPr>
    </w:p>
    <w:p>
      <w:pPr>
        <w:pStyle w:val="Heading2"/>
        <w:keepNext/>
        <w:spacing w:before="120" w:after="80"/>
      </w:pPr>
      <w:r>
        <w:rPr>
          <w:rFonts w:ascii="Calibri" w:hAnsi="Calibri" w:cs="Calibri" w:eastAsia="Calibri"/>
          <w:b/>
          <w:i w:val="0"/>
          <w:color w:val="1F3864"/>
          <w:sz w:val="24"/>
          <w:szCs w:val="24"/>
          <w:bCs/>
        </w:rPr>
        <w:t>4.5 Roles: DPO and Security Function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Separate the roles of the Data Protection Officer and the security function, and state DPO independence (PDPA s.41 and s.42).</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Role</w:t>
            </w:r>
          </w:p>
        </w:tc>
        <w:tc>
          <w:tcPr>
            <w:tcW w:type="dxa" w:w="6803"/>
            <w:shd w:val="clear" w:color="auto" w:fill="1F3864"/>
          </w:tcPr>
          <w:p>
            <w:r/>
            <w:r>
              <w:rPr>
                <w:rFonts w:ascii="Calibri" w:hAnsi="Calibri" w:cs="Calibri" w:eastAsia="Calibri"/>
                <w:b/>
                <w:i w:val="0"/>
                <w:color w:val="FFFFFF"/>
                <w:sz w:val="18"/>
                <w:szCs w:val="18"/>
                <w:bCs/>
              </w:rPr>
              <w:t>Responsibility</w:t>
            </w:r>
          </w:p>
        </w:tc>
      </w:tr>
      <w:tr>
        <w:tc>
          <w:tcPr>
            <w:tcW w:type="dxa" w:w="2551"/>
          </w:tcPr>
          <w:p>
            <w:r/>
            <w:r>
              <w:rPr>
                <w:rFonts w:ascii="Calibri" w:hAnsi="Calibri" w:cs="Calibri" w:eastAsia="Calibri"/>
                <w:b w:val="0"/>
                <w:i w:val="0"/>
                <w:sz w:val="18"/>
                <w:szCs w:val="18"/>
              </w:rPr>
              <w:t>Data Protection Officer (DPO)</w:t>
            </w:r>
          </w:p>
        </w:tc>
        <w:tc>
          <w:tcPr>
            <w:tcW w:type="dxa" w:w="6803"/>
          </w:tcPr>
          <w:p>
            <w:r/>
            <w:r>
              <w:rPr>
                <w:rFonts w:ascii="Calibri" w:hAnsi="Calibri" w:cs="Calibri" w:eastAsia="Calibri"/>
                <w:b w:val="0"/>
                <w:i w:val="0"/>
                <w:sz w:val="18"/>
                <w:szCs w:val="18"/>
              </w:rPr>
              <w:t>Advises on PDPA compliance, monitors processing, coordinates with the PDPC Office, and handles data subject complaints. Reports to Chief Executive Officer (CEO) and must not be penalized for performing DPO duties (PDPA s.42).</w:t>
            </w:r>
          </w:p>
        </w:tc>
      </w:tr>
      <w:tr>
        <w:tc>
          <w:tcPr>
            <w:tcW w:type="dxa" w:w="2551"/>
          </w:tcPr>
          <w:p>
            <w:r/>
            <w:r>
              <w:rPr>
                <w:rFonts w:ascii="Calibri" w:hAnsi="Calibri" w:cs="Calibri" w:eastAsia="Calibri"/>
                <w:b w:val="0"/>
                <w:i w:val="0"/>
                <w:sz w:val="18"/>
                <w:szCs w:val="18"/>
              </w:rPr>
              <w:t>Security Manager</w:t>
            </w:r>
          </w:p>
        </w:tc>
        <w:tc>
          <w:tcPr>
            <w:tcW w:type="dxa" w:w="6803"/>
          </w:tcPr>
          <w:p>
            <w:r/>
            <w:r>
              <w:rPr>
                <w:rFonts w:ascii="Calibri" w:hAnsi="Calibri" w:cs="Calibri" w:eastAsia="Calibri"/>
                <w:b w:val="0"/>
                <w:i w:val="0"/>
                <w:sz w:val="18"/>
                <w:szCs w:val="18"/>
              </w:rPr>
              <w:t>Designs and operates the security controls that protect personal data; leads technical breach response.</w:t>
            </w:r>
          </w:p>
        </w:tc>
      </w:tr>
      <w:tr>
        <w:tc>
          <w:tcPr>
            <w:tcW w:type="dxa" w:w="2551"/>
          </w:tcPr>
          <w:p>
            <w:r/>
            <w:r>
              <w:rPr>
                <w:rFonts w:ascii="Calibri" w:hAnsi="Calibri" w:cs="Calibri" w:eastAsia="Calibri"/>
                <w:b w:val="0"/>
                <w:i w:val="0"/>
                <w:sz w:val="18"/>
                <w:szCs w:val="18"/>
              </w:rPr>
              <w:t>Data owners (department heads)</w:t>
            </w:r>
          </w:p>
        </w:tc>
        <w:tc>
          <w:tcPr>
            <w:tcW w:type="dxa" w:w="6803"/>
          </w:tcPr>
          <w:p>
            <w:r/>
            <w:r>
              <w:rPr>
                <w:rFonts w:ascii="Calibri" w:hAnsi="Calibri" w:cs="Calibri" w:eastAsia="Calibri"/>
                <w:b w:val="0"/>
                <w:i w:val="0"/>
                <w:sz w:val="18"/>
                <w:szCs w:val="18"/>
              </w:rPr>
              <w:t>Maintain ROPA entries and ensure their teams follow privacy procedures.</w:t>
            </w:r>
          </w:p>
        </w:tc>
      </w:tr>
      <w:tr>
        <w:tc>
          <w:tcPr>
            <w:tcW w:type="dxa" w:w="2551"/>
          </w:tcPr>
          <w:p>
            <w:r/>
            <w:r>
              <w:rPr>
                <w:rFonts w:ascii="Calibri" w:hAnsi="Calibri" w:cs="Calibri" w:eastAsia="Calibri"/>
                <w:b w:val="0"/>
                <w:i w:val="0"/>
                <w:sz w:val="18"/>
                <w:szCs w:val="18"/>
              </w:rPr>
              <w:t>Legal Counsel</w:t>
            </w:r>
          </w:p>
        </w:tc>
        <w:tc>
          <w:tcPr>
            <w:tcW w:type="dxa" w:w="6803"/>
          </w:tcPr>
          <w:p>
            <w:r/>
            <w:r>
              <w:rPr>
                <w:rFonts w:ascii="Calibri" w:hAnsi="Calibri" w:cs="Calibri" w:eastAsia="Calibri"/>
                <w:b w:val="0"/>
                <w:i w:val="0"/>
                <w:sz w:val="18"/>
                <w:szCs w:val="18"/>
              </w:rPr>
              <w:t>Reviews privacy notices, consent text, and data processing agreements.</w:t>
            </w:r>
          </w:p>
        </w:tc>
      </w:tr>
    </w:tbl>
    <w:p>
      <w:pPr>
        <w:spacing w:after="40"/>
      </w:pPr>
    </w:p>
    <w:p>
      <w:pPr>
        <w:pStyle w:val="Heading2"/>
        <w:keepNext/>
        <w:spacing w:before="120" w:after="80"/>
      </w:pPr>
      <w:r>
        <w:rPr>
          <w:rFonts w:ascii="Calibri" w:hAnsi="Calibri" w:cs="Calibri" w:eastAsia="Calibri"/>
          <w:b/>
          <w:i w:val="0"/>
          <w:color w:val="1F3864"/>
          <w:sz w:val="24"/>
          <w:szCs w:val="24"/>
          <w:bCs/>
        </w:rPr>
        <w:t>4.6 Cross-Border Transfer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conditions for transferring personal data outside Thailand (PDPA s.28 and s.29).</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Personal data may be transferred outside Thailand only when the destination meets PDPA s.28 or s.29 requirements, such as adequate protection standards, binding corporate rules, or appropriate safeguards, and only after Data Protection Officer (DPO) review. [VERIFY current PDPC notifications on cross-border transfer.]</w:t>
      </w:r>
    </w:p>
    <w:p>
      <w:pPr>
        <w:pStyle w:val="Heading2"/>
        <w:keepNext/>
        <w:spacing w:before="120" w:after="80"/>
      </w:pPr>
      <w:r>
        <w:rPr>
          <w:rFonts w:ascii="Calibri" w:hAnsi="Calibri" w:cs="Calibri" w:eastAsia="Calibri"/>
          <w:b/>
          <w:i w:val="0"/>
          <w:color w:val="1F3864"/>
          <w:sz w:val="24"/>
          <w:szCs w:val="24"/>
          <w:bCs/>
        </w:rPr>
        <w:t>4.7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Appoint the DPO as an independent role, not the CISO, to avoid a conflict between advising on and operating controls.</w:t>
      </w:r>
    </w:p>
    <w:p>
      <w:pPr>
        <w:pStyle w:val="ListBullet"/>
        <w:spacing w:after="40"/>
      </w:pPr>
      <w:r>
        <w:rPr>
          <w:rFonts w:ascii="Calibri" w:hAnsi="Calibri" w:cs="Calibri" w:eastAsia="Calibri"/>
          <w:b w:val="0"/>
          <w:i w:val="0"/>
          <w:sz w:val="21"/>
          <w:szCs w:val="21"/>
        </w:rPr>
        <w:t>Build the ROPA first; every other privacy document depends on knowing what data you process.</w:t>
      </w:r>
    </w:p>
    <w:p>
      <w:pPr>
        <w:pStyle w:val="ListBullet"/>
        <w:spacing w:after="40"/>
      </w:pPr>
      <w:r>
        <w:rPr>
          <w:rFonts w:ascii="Calibri" w:hAnsi="Calibri" w:cs="Calibri" w:eastAsia="Calibri"/>
          <w:b w:val="0"/>
          <w:i w:val="0"/>
          <w:sz w:val="21"/>
          <w:szCs w:val="21"/>
        </w:rPr>
        <w:t>Use one incident process for security and privacy so that breach assessment starts immediately.</w:t>
      </w:r>
    </w:p>
    <w:p>
      <w:pPr>
        <w:pStyle w:val="ListBullet"/>
        <w:spacing w:after="40"/>
      </w:pPr>
      <w:r>
        <w:rPr>
          <w:rFonts w:ascii="Calibri" w:hAnsi="Calibri" w:cs="Calibri" w:eastAsia="Calibri"/>
          <w:b w:val="0"/>
          <w:i w:val="0"/>
          <w:sz w:val="21"/>
          <w:szCs w:val="21"/>
        </w:rPr>
        <w:t>Train front-line staff who collect personal data, such as registration and call center teams.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Relying on consent for everything, including processing that has another lawful basis, which creates withdrawal problems.</w:t>
      </w:r>
    </w:p>
    <w:p>
      <w:pPr>
        <w:pStyle w:val="ListBullet"/>
        <w:spacing w:after="40"/>
      </w:pPr>
      <w:r>
        <w:rPr>
          <w:rFonts w:ascii="Calibri" w:hAnsi="Calibri" w:cs="Calibri" w:eastAsia="Calibri"/>
          <w:b w:val="0"/>
          <w:i w:val="0"/>
          <w:sz w:val="21"/>
          <w:szCs w:val="21"/>
        </w:rPr>
        <w:t>Publishing a privacy notice that does not match actual processing in the ROPA.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GV.PO-01: Cybersecurity policy is established, communicated, and enforced based on context, strategy, and priorities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s.37(1); PDPC Notification on Security Measures B.E. 2565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GV-REG-007: Record of Processing Activities (ROPA)</w:t>
            </w:r>
          </w:p>
          <w:p>
            <w:r>
              <w:rPr>
                <w:rFonts w:ascii="Calibri" w:hAnsi="Calibri" w:cs="Calibri" w:eastAsia="Calibri"/>
                <w:b w:val="0"/>
                <w:i w:val="0"/>
                <w:sz w:val="18"/>
                <w:szCs w:val="18"/>
              </w:rPr>
              <w:t>GV-TPL-002: Privacy Notice Template</w:t>
            </w:r>
          </w:p>
          <w:p>
            <w:r>
              <w:rPr>
                <w:rFonts w:ascii="Calibri" w:hAnsi="Calibri" w:cs="Calibri" w:eastAsia="Calibri"/>
                <w:b w:val="0"/>
                <w:i w:val="0"/>
                <w:sz w:val="18"/>
                <w:szCs w:val="18"/>
              </w:rPr>
              <w:t>GV-PRC-004: Data Protection Impact Assessment (DPIA) Procedure</w:t>
            </w:r>
          </w:p>
          <w:p>
            <w:r>
              <w:rPr>
                <w:rFonts w:ascii="Calibri" w:hAnsi="Calibri" w:cs="Calibri" w:eastAsia="Calibri"/>
                <w:b w:val="0"/>
                <w:i w:val="0"/>
                <w:sz w:val="18"/>
                <w:szCs w:val="18"/>
              </w:rPr>
              <w:t>GV-PRC-005: Data Subject Rights Request Procedure</w:t>
            </w:r>
          </w:p>
          <w:p>
            <w:r>
              <w:rPr>
                <w:rFonts w:ascii="Calibri" w:hAnsi="Calibri" w:cs="Calibri" w:eastAsia="Calibri"/>
                <w:b w:val="0"/>
                <w:i w:val="0"/>
                <w:sz w:val="18"/>
                <w:szCs w:val="18"/>
              </w:rPr>
              <w:t>GV-TPL-004: Data Processing Agreement Template</w:t>
            </w:r>
          </w:p>
          <w:p>
            <w:r>
              <w:rPr>
                <w:rFonts w:ascii="Calibri" w:hAnsi="Calibri" w:cs="Calibri" w:eastAsia="Calibri"/>
                <w:b w:val="0"/>
                <w:i w:val="0"/>
                <w:sz w:val="18"/>
                <w:szCs w:val="18"/>
              </w:rPr>
              <w:t>RS-PLB-003: Personal Data Breach Response Playbook</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GV-POL-004  |  Personal Data Protection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