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Generative AI Acceptable Use Policy</w:t>
      </w:r>
    </w:p>
    <w:p>
      <w:pPr>
        <w:spacing w:after="80" w:before="0"/>
      </w:pPr>
      <w:r>
        <w:rPr>
          <w:rFonts w:ascii="Calibri" w:hAnsi="Calibri" w:cs="Calibri" w:eastAsia="Calibri"/>
          <w:b w:val="0"/>
          <w:i w:val="0"/>
          <w:color w:val="595959"/>
          <w:sz w:val="18"/>
          <w:szCs w:val="18"/>
        </w:rPr>
        <w:t>GV-POL-005  |  Policy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Generative AI Acceptable Use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21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21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AI RMF 1.0; NIST AI 600-1 (Generative AI Profile)</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People, AI</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26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21 April 2026</w:t>
            </w:r>
          </w:p>
        </w:tc>
        <w:tc>
          <w:tcPr>
            <w:tcW w:type="dxa" w:w="3742"/>
          </w:tcPr>
          <w:p>
            <w:r/>
            <w:r>
              <w:rPr>
                <w:rFonts w:ascii="Calibri" w:hAnsi="Calibri" w:cs="Calibri" w:eastAsia="Calibri"/>
                <w:b w:val="0"/>
                <w:i w:val="0"/>
                <w:sz w:val="18"/>
                <w:szCs w:val="18"/>
              </w:rPr>
              <w:t>Initial release in 2025 updated in August 2026 to add Microsoft 365 Copilot to approved tools after the DPIA for clinical documentation was approved.</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rules for using generative artificial intelligence (AI) tools so that staff gain productivity without exposing confidential or personal data or relying on unverified output.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Approved and Prohibited Tools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Distinguish enterprise AI tools with contractual data protection from public consumer tools.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6237"/>
      </w:tblGrid>
      <w:tr>
        <w:trPr>
          <w:tblHeader w:val="true"/>
        </w:trPr>
        <w:tc>
          <w:tcPr>
            <w:tcW w:type="dxa" w:w="3118"/>
            <w:shd w:val="clear" w:color="auto" w:fill="1F3864"/>
          </w:tcPr>
          <w:p>
            <w:r/>
            <w:r>
              <w:rPr>
                <w:rFonts w:ascii="Calibri" w:hAnsi="Calibri" w:cs="Calibri" w:eastAsia="Calibri"/>
                <w:b/>
                <w:i w:val="0"/>
                <w:color w:val="FFFFFF"/>
                <w:sz w:val="18"/>
                <w:szCs w:val="18"/>
                <w:bCs/>
              </w:rPr>
              <w:t>Category</w:t>
            </w:r>
          </w:p>
        </w:tc>
        <w:tc>
          <w:tcPr>
            <w:tcW w:type="dxa" w:w="6236"/>
            <w:shd w:val="clear" w:color="auto" w:fill="1F3864"/>
          </w:tcPr>
          <w:p>
            <w:r/>
            <w:r>
              <w:rPr>
                <w:rFonts w:ascii="Calibri" w:hAnsi="Calibri" w:cs="Calibri" w:eastAsia="Calibri"/>
                <w:b/>
                <w:i w:val="0"/>
                <w:color w:val="FFFFFF"/>
                <w:sz w:val="18"/>
                <w:szCs w:val="18"/>
                <w:bCs/>
              </w:rPr>
              <w:t>Rule</w:t>
            </w:r>
          </w:p>
        </w:tc>
      </w:tr>
      <w:tr>
        <w:tc>
          <w:tcPr>
            <w:tcW w:type="dxa" w:w="3118"/>
          </w:tcPr>
          <w:p>
            <w:r/>
            <w:r>
              <w:rPr>
                <w:rFonts w:ascii="Calibri" w:hAnsi="Calibri" w:cs="Calibri" w:eastAsia="Calibri"/>
                <w:b w:val="0"/>
                <w:i w:val="0"/>
                <w:sz w:val="18"/>
                <w:szCs w:val="18"/>
              </w:rPr>
              <w:t>Microsoft 365 Copilot (CMC tenant)</w:t>
            </w:r>
          </w:p>
        </w:tc>
        <w:tc>
          <w:tcPr>
            <w:tcW w:type="dxa" w:w="6236"/>
          </w:tcPr>
          <w:p>
            <w:r/>
            <w:r>
              <w:rPr>
                <w:rFonts w:ascii="Calibri" w:hAnsi="Calibri" w:cs="Calibri" w:eastAsia="Calibri"/>
                <w:b w:val="0"/>
                <w:i w:val="0"/>
                <w:sz w:val="18"/>
                <w:szCs w:val="18"/>
              </w:rPr>
              <w:t>Allowed for internal data. Patient data allowed only in approved clinical documentation pilots.</w:t>
            </w:r>
          </w:p>
        </w:tc>
      </w:tr>
      <w:tr>
        <w:tc>
          <w:tcPr>
            <w:tcW w:type="dxa" w:w="3118"/>
          </w:tcPr>
          <w:p>
            <w:r/>
            <w:r>
              <w:rPr>
                <w:rFonts w:ascii="Calibri" w:hAnsi="Calibri" w:cs="Calibri" w:eastAsia="Calibri"/>
                <w:b w:val="0"/>
                <w:i w:val="0"/>
                <w:sz w:val="18"/>
                <w:szCs w:val="18"/>
              </w:rPr>
              <w:t>Public AI chat tools</w:t>
            </w:r>
          </w:p>
        </w:tc>
        <w:tc>
          <w:tcPr>
            <w:tcW w:type="dxa" w:w="6236"/>
          </w:tcPr>
          <w:p>
            <w:r/>
            <w:r>
              <w:rPr>
                <w:rFonts w:ascii="Calibri" w:hAnsi="Calibri" w:cs="Calibri" w:eastAsia="Calibri"/>
                <w:b w:val="0"/>
                <w:i w:val="0"/>
                <w:sz w:val="18"/>
                <w:szCs w:val="18"/>
              </w:rPr>
              <w:t>Public information only. Entering patient names, hospital numbers (HN), images, or results is prohibited.</w:t>
            </w:r>
          </w:p>
        </w:tc>
      </w:tr>
      <w:tr>
        <w:tc>
          <w:tcPr>
            <w:tcW w:type="dxa" w:w="3118"/>
          </w:tcPr>
          <w:p>
            <w:r/>
            <w:r>
              <w:rPr>
                <w:rFonts w:ascii="Calibri" w:hAnsi="Calibri" w:cs="Calibri" w:eastAsia="Calibri"/>
                <w:b w:val="0"/>
                <w:i w:val="0"/>
                <w:sz w:val="18"/>
                <w:szCs w:val="18"/>
              </w:rPr>
              <w:t>AI modules in PACS and HIS</w:t>
            </w:r>
          </w:p>
        </w:tc>
        <w:tc>
          <w:tcPr>
            <w:tcW w:type="dxa" w:w="6236"/>
          </w:tcPr>
          <w:p>
            <w:r/>
            <w:r>
              <w:rPr>
                <w:rFonts w:ascii="Calibri" w:hAnsi="Calibri" w:cs="Calibri" w:eastAsia="Calibri"/>
                <w:b w:val="0"/>
                <w:i w:val="0"/>
                <w:sz w:val="18"/>
                <w:szCs w:val="18"/>
              </w:rPr>
              <w:t>Allowed after vendor assessment (GV-FRM-006) and clinical governance approval.</w:t>
            </w:r>
          </w:p>
        </w:tc>
      </w:tr>
      <w:tr>
        <w:tc>
          <w:tcPr>
            <w:tcW w:type="dxa" w:w="3118"/>
          </w:tcPr>
          <w:p>
            <w:r/>
            <w:r>
              <w:rPr>
                <w:rFonts w:ascii="Calibri" w:hAnsi="Calibri" w:cs="Calibri" w:eastAsia="Calibri"/>
                <w:b w:val="0"/>
                <w:i w:val="0"/>
                <w:sz w:val="18"/>
                <w:szCs w:val="18"/>
              </w:rPr>
              <w:t>In-house AI models</w:t>
            </w:r>
          </w:p>
        </w:tc>
        <w:tc>
          <w:tcPr>
            <w:tcW w:type="dxa" w:w="6236"/>
          </w:tcPr>
          <w:p>
            <w:r/>
            <w:r>
              <w:rPr>
                <w:rFonts w:ascii="Calibri" w:hAnsi="Calibri" w:cs="Calibri" w:eastAsia="Calibri"/>
                <w:b w:val="0"/>
                <w:i w:val="0"/>
                <w:sz w:val="18"/>
                <w:szCs w:val="18"/>
              </w:rPr>
              <w:t>Not in use. Any proposal requires ISSC and Medical Director approval.</w:t>
            </w:r>
          </w:p>
        </w:tc>
      </w:tr>
    </w:tbl>
    <w:p>
      <w:pPr>
        <w:spacing w:after="40"/>
      </w:pPr>
    </w:p>
    <w:p>
      <w:pPr>
        <w:pStyle w:val="Heading2"/>
        <w:keepNext/>
        <w:spacing w:before="120" w:after="80"/>
      </w:pPr>
      <w:r>
        <w:rPr>
          <w:rFonts w:ascii="Calibri" w:hAnsi="Calibri" w:cs="Calibri" w:eastAsia="Calibri"/>
          <w:b/>
          <w:i w:val="0"/>
          <w:color w:val="1F3864"/>
          <w:sz w:val="24"/>
          <w:szCs w:val="24"/>
          <w:bCs/>
        </w:rPr>
        <w:t>4.4 Data Protection Rules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which data classes may be used with each tool type, referencing the classification standard.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Follow the Information Classification and Handling Standard (PR-STD-004) for every prompt and upload.</w:t>
      </w:r>
    </w:p>
    <w:p>
      <w:pPr>
        <w:pStyle w:val="ListBullet"/>
        <w:spacing w:after="40"/>
      </w:pPr>
      <w:r>
        <w:rPr>
          <w:rFonts w:ascii="Calibri" w:hAnsi="Calibri" w:cs="Calibri" w:eastAsia="Calibri"/>
          <w:b w:val="0"/>
          <w:i w:val="0"/>
          <w:sz w:val="21"/>
          <w:szCs w:val="21"/>
        </w:rPr>
        <w:t>Do not enter sensitive personal data under PDPA s.26 (such as health, biometric, or criminal records) into any AI tool unless the use case has an approved DPIA (GV-PRC-004).</w:t>
      </w:r>
    </w:p>
    <w:p>
      <w:pPr>
        <w:pStyle w:val="ListBullet"/>
        <w:spacing w:after="40"/>
      </w:pPr>
      <w:r>
        <w:rPr>
          <w:rFonts w:ascii="Calibri" w:hAnsi="Calibri" w:cs="Calibri" w:eastAsia="Calibri"/>
          <w:b w:val="0"/>
          <w:i w:val="0"/>
          <w:sz w:val="21"/>
          <w:szCs w:val="21"/>
        </w:rPr>
        <w:t>Remove names and identifiers before using any data for testing or prompts where possible.</w:t>
      </w:r>
    </w:p>
    <w:p>
      <w:pPr>
        <w:pStyle w:val="Heading2"/>
        <w:keepNext/>
        <w:spacing w:before="120" w:after="80"/>
      </w:pPr>
      <w:r>
        <w:rPr>
          <w:rFonts w:ascii="Calibri" w:hAnsi="Calibri" w:cs="Calibri" w:eastAsia="Calibri"/>
          <w:b/>
          <w:i w:val="0"/>
          <w:color w:val="1F3864"/>
          <w:sz w:val="24"/>
          <w:szCs w:val="24"/>
          <w:bCs/>
        </w:rPr>
        <w:t>4.5 Output Verification and Accountability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Make users accountable for verifying AI output before use.</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user remains accountable for any output. Clinical staff must verify AI-drafted notes against the patient record before signing.</w:t>
      </w:r>
    </w:p>
    <w:p>
      <w:pPr>
        <w:pStyle w:val="ListBullet"/>
        <w:spacing w:after="40"/>
      </w:pPr>
      <w:r>
        <w:rPr>
          <w:rFonts w:ascii="Calibri" w:hAnsi="Calibri" w:cs="Calibri" w:eastAsia="Calibri"/>
          <w:b w:val="0"/>
          <w:i w:val="0"/>
          <w:sz w:val="21"/>
          <w:szCs w:val="21"/>
        </w:rPr>
        <w:t>AI output must never replace physician judgment on diagnosis or treatment.</w:t>
      </w:r>
    </w:p>
    <w:p>
      <w:pPr>
        <w:pStyle w:val="ListBullet"/>
        <w:spacing w:after="40"/>
      </w:pPr>
      <w:r>
        <w:rPr>
          <w:rFonts w:ascii="Calibri" w:hAnsi="Calibri" w:cs="Calibri" w:eastAsia="Calibri"/>
          <w:b w:val="0"/>
          <w:i w:val="0"/>
          <w:sz w:val="21"/>
          <w:szCs w:val="21"/>
        </w:rPr>
        <w:t>Patient-facing material drafted with AI must be reviewed by the responsible department before release.</w:t>
      </w:r>
    </w:p>
    <w:p>
      <w:pPr>
        <w:pStyle w:val="Heading2"/>
        <w:keepNext/>
        <w:spacing w:before="120" w:after="80"/>
      </w:pPr>
      <w:r>
        <w:rPr>
          <w:rFonts w:ascii="Calibri" w:hAnsi="Calibri" w:cs="Calibri" w:eastAsia="Calibri"/>
          <w:b/>
          <w:i w:val="0"/>
          <w:color w:val="1F3864"/>
          <w:sz w:val="24"/>
          <w:szCs w:val="24"/>
          <w:bCs/>
        </w:rPr>
        <w:t>4.6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Publish a short list of approved tools and use cases rather than a blanket ban; bans drive staff to unapproved tools.</w:t>
      </w:r>
    </w:p>
    <w:p>
      <w:pPr>
        <w:pStyle w:val="ListBullet"/>
        <w:spacing w:after="40"/>
      </w:pPr>
      <w:r>
        <w:rPr>
          <w:rFonts w:ascii="Calibri" w:hAnsi="Calibri" w:cs="Calibri" w:eastAsia="Calibri"/>
          <w:b w:val="0"/>
          <w:i w:val="0"/>
          <w:sz w:val="21"/>
          <w:szCs w:val="21"/>
        </w:rPr>
        <w:t>Map AI risks using the NIST AI Risk Management Framework (AI RMF) functions Govern, Map, Measure, and Manage.</w:t>
      </w:r>
    </w:p>
    <w:p>
      <w:pPr>
        <w:pStyle w:val="ListBullet"/>
        <w:spacing w:after="40"/>
      </w:pPr>
      <w:r>
        <w:rPr>
          <w:rFonts w:ascii="Calibri" w:hAnsi="Calibri" w:cs="Calibri" w:eastAsia="Calibri"/>
          <w:b w:val="0"/>
          <w:i w:val="0"/>
          <w:sz w:val="21"/>
          <w:szCs w:val="21"/>
        </w:rPr>
        <w:t>Use data loss prevention (DLP) or browser controls to warn users before they paste sensitive data into public AI tools.</w:t>
      </w:r>
    </w:p>
    <w:p>
      <w:pPr>
        <w:pStyle w:val="ListBullet"/>
        <w:spacing w:after="40"/>
      </w:pPr>
      <w:r>
        <w:rPr>
          <w:rFonts w:ascii="Calibri" w:hAnsi="Calibri" w:cs="Calibri" w:eastAsia="Calibri"/>
          <w:b w:val="0"/>
          <w:i w:val="0"/>
          <w:sz w:val="21"/>
          <w:szCs w:val="21"/>
        </w:rPr>
        <w:t>Review the policy every six months while the technology and regulation change quickly.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Allowing AI features to switch on silently inside existing SaaS tools without a data handling review.</w:t>
      </w:r>
    </w:p>
    <w:p>
      <w:pPr>
        <w:pStyle w:val="ListBullet"/>
        <w:spacing w:after="40"/>
      </w:pPr>
      <w:r>
        <w:rPr>
          <w:rFonts w:ascii="Calibri" w:hAnsi="Calibri" w:cs="Calibri" w:eastAsia="Calibri"/>
          <w:b w:val="0"/>
          <w:i w:val="0"/>
          <w:sz w:val="21"/>
          <w:szCs w:val="21"/>
        </w:rPr>
        <w:t>Writing a policy with no approved option, which nobody follows.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GV.PO-01: Cybersecurity policy is established, communicated, and enforced based on context, strategy, and priorities</w:t>
            </w:r>
          </w:p>
          <w:p>
            <w:r>
              <w:rPr>
                <w:rFonts w:ascii="Calibri" w:hAnsi="Calibri" w:cs="Calibri" w:eastAsia="Calibri"/>
                <w:b w:val="0"/>
                <w:i w:val="0"/>
                <w:sz w:val="18"/>
                <w:szCs w:val="18"/>
              </w:rPr>
              <w:t>GV.OC-03: Legal, regulatory, and contractual cybersecurity requirements are understood and managed</w:t>
            </w:r>
          </w:p>
          <w:p>
            <w:r>
              <w:rPr>
                <w:rFonts w:ascii="Calibri" w:hAnsi="Calibri" w:cs="Calibri" w:eastAsia="Calibri"/>
                <w:b w:val="0"/>
                <w:i w:val="0"/>
                <w:sz w:val="18"/>
                <w:szCs w:val="18"/>
              </w:rPr>
              <w:t>PR.DS-10: The confidentiality, integrity, and availability of data-in-use are protected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AI RMF 1.0; NIST AI 600-1 (Generative AI Profile)</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GV-POL-003: Acceptable Use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GV-POL-005  |  Generative AI Acceptable Use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