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Document Control Procedure</w:t>
      </w:r>
    </w:p>
    <w:p>
      <w:pPr>
        <w:spacing w:after="80" w:before="0"/>
      </w:pPr>
      <w:r>
        <w:rPr>
          <w:rFonts w:ascii="Calibri" w:hAnsi="Calibri" w:cs="Calibri" w:eastAsia="Calibri"/>
          <w:b w:val="0"/>
          <w:i w:val="0"/>
          <w:color w:val="595959"/>
          <w:sz w:val="18"/>
          <w:szCs w:val="18"/>
        </w:rPr>
        <w:t>GV-PRC-002  |  Procedure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GV-PRC-002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Document Control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26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26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7.5 (control of documented information; a procedure is not mandated)</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12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26 May 2026</w:t>
            </w:r>
          </w:p>
        </w:tc>
        <w:tc>
          <w:tcPr>
            <w:tcW w:type="dxa" w:w="3742"/>
          </w:tcPr>
          <w:p>
            <w:r/>
            <w:r>
              <w:rPr>
                <w:rFonts w:ascii="Calibri" w:hAnsi="Calibri" w:cs="Calibri" w:eastAsia="Calibri"/>
                <w:b w:val="0"/>
                <w:i w:val="0"/>
                <w:sz w:val="18"/>
                <w:szCs w:val="18"/>
              </w:rPr>
              <w:t>Updated after the November 2025 internal audit (IA-2025-04) found uncontrolled printed copies at nursing stations; added the UNCONTROLLED WHEN PRINTED rule.</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controls how security documents are created, reviewed, approved, published, changed, and retired, so that users always work from the current approved version (ISO/IEC 27001:2022 Clause 7.5).</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Document Identification and Format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ID convention, mandatory metadata, and format every controlled document must carry.</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Document ID format: [Function]-[Type]-[Number], for example GV-POL-001. Function codes follow NIST CSF 2.0 (GV, ID, PR, DE, RS, RC). Type codes: CHR, STR, STM, POL, STD, PRC, PLN, PLB, GDL, FRM, REG, REC, RPT, TPL.</w:t>
      </w:r>
    </w:p>
    <w:p>
      <w:pPr>
        <w:pStyle w:val="ListBullet"/>
        <w:spacing w:after="40"/>
      </w:pPr>
      <w:r>
        <w:rPr>
          <w:rFonts w:ascii="Calibri" w:hAnsi="Calibri" w:cs="Calibri" w:eastAsia="Calibri"/>
          <w:b w:val="0"/>
          <w:i w:val="0"/>
          <w:sz w:val="21"/>
          <w:szCs w:val="21"/>
        </w:rPr>
        <w:t>Every controlled document carries a document control table (ID, title, version, status, classification, owner, approver, effective date, review cycle, next review) and a revision history.</w:t>
      </w:r>
    </w:p>
    <w:p>
      <w:pPr>
        <w:pStyle w:val="ListBullet"/>
        <w:spacing w:after="40"/>
      </w:pPr>
      <w:r>
        <w:rPr>
          <w:rFonts w:ascii="Calibri" w:hAnsi="Calibri" w:cs="Calibri" w:eastAsia="Calibri"/>
          <w:b w:val="0"/>
          <w:i w:val="0"/>
          <w:sz w:val="21"/>
          <w:szCs w:val="21"/>
        </w:rPr>
        <w:t>Version numbering: major changes increase the first digit (1.0 to 2.0) and require approval at the original level; minor editorial changes increase the decimal (1.0 to 1.1).</w:t>
      </w:r>
    </w:p>
    <w:p>
      <w:pPr>
        <w:pStyle w:val="ListBullet"/>
        <w:spacing w:after="40"/>
      </w:pPr>
      <w:r>
        <w:rPr>
          <w:rFonts w:ascii="Calibri" w:hAnsi="Calibri" w:cs="Calibri" w:eastAsia="Calibri"/>
          <w:b w:val="0"/>
          <w:i w:val="0"/>
          <w:sz w:val="21"/>
          <w:szCs w:val="21"/>
        </w:rPr>
        <w:t>File name format: [Document ID]_[Short-Title].docx.</w:t>
      </w:r>
    </w:p>
    <w:p>
      <w:pPr>
        <w:pStyle w:val="Heading2"/>
        <w:keepNext/>
        <w:spacing w:before="120" w:after="80"/>
      </w:pPr>
      <w:r>
        <w:rPr>
          <w:rFonts w:ascii="Calibri" w:hAnsi="Calibri" w:cs="Calibri" w:eastAsia="Calibri"/>
          <w:b/>
          <w:i w:val="0"/>
          <w:color w:val="1F3864"/>
          <w:sz w:val="24"/>
          <w:szCs w:val="24"/>
          <w:bCs/>
        </w:rPr>
        <w:t>4.4 Document Lifecycle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each step from drafting to retirement, with the actor, output, and timing.</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567"/>
        <w:gridCol w:w="3402"/>
        <w:gridCol w:w="1871"/>
        <w:gridCol w:w="1701"/>
        <w:gridCol w:w="1814"/>
      </w:tblGrid>
      <w:tr>
        <w:trPr>
          <w:tblHeader w:val="true"/>
        </w:trPr>
        <w:tc>
          <w:tcPr>
            <w:tcW w:type="dxa" w:w="567"/>
            <w:shd w:val="clear" w:color="auto" w:fill="1F3864"/>
          </w:tcPr>
          <w:p>
            <w:r/>
            <w:r>
              <w:rPr>
                <w:rFonts w:ascii="Calibri" w:hAnsi="Calibri" w:cs="Calibri" w:eastAsia="Calibri"/>
                <w:b/>
                <w:i w:val="0"/>
                <w:color w:val="FFFFFF"/>
                <w:sz w:val="18"/>
                <w:szCs w:val="18"/>
                <w:bCs/>
              </w:rPr>
              <w:t>Step</w:t>
            </w:r>
          </w:p>
        </w:tc>
        <w:tc>
          <w:tcPr>
            <w:tcW w:type="dxa" w:w="3402"/>
            <w:shd w:val="clear" w:color="auto" w:fill="1F3864"/>
          </w:tcPr>
          <w:p>
            <w:r/>
            <w:r>
              <w:rPr>
                <w:rFonts w:ascii="Calibri" w:hAnsi="Calibri" w:cs="Calibri" w:eastAsia="Calibri"/>
                <w:b/>
                <w:i w:val="0"/>
                <w:color w:val="FFFFFF"/>
                <w:sz w:val="18"/>
                <w:szCs w:val="18"/>
                <w:bCs/>
              </w:rPr>
              <w:t>Activity</w:t>
            </w:r>
          </w:p>
        </w:tc>
        <w:tc>
          <w:tcPr>
            <w:tcW w:type="dxa" w:w="1871"/>
            <w:shd w:val="clear" w:color="auto" w:fill="1F3864"/>
          </w:tcPr>
          <w:p>
            <w:r/>
            <w:r>
              <w:rPr>
                <w:rFonts w:ascii="Calibri" w:hAnsi="Calibri" w:cs="Calibri" w:eastAsia="Calibri"/>
                <w:b/>
                <w:i w:val="0"/>
                <w:color w:val="FFFFFF"/>
                <w:sz w:val="18"/>
                <w:szCs w:val="18"/>
                <w:bCs/>
              </w:rPr>
              <w:t>Actor</w:t>
            </w:r>
          </w:p>
        </w:tc>
        <w:tc>
          <w:tcPr>
            <w:tcW w:type="dxa" w:w="1701"/>
            <w:shd w:val="clear" w:color="auto" w:fill="1F3864"/>
          </w:tcPr>
          <w:p>
            <w:r/>
            <w:r>
              <w:rPr>
                <w:rFonts w:ascii="Calibri" w:hAnsi="Calibri" w:cs="Calibri" w:eastAsia="Calibri"/>
                <w:b/>
                <w:i w:val="0"/>
                <w:color w:val="FFFFFF"/>
                <w:sz w:val="18"/>
                <w:szCs w:val="18"/>
                <w:bCs/>
              </w:rPr>
              <w:t>Output</w:t>
            </w:r>
          </w:p>
        </w:tc>
        <w:tc>
          <w:tcPr>
            <w:tcW w:type="dxa" w:w="1814"/>
            <w:shd w:val="clear" w:color="auto" w:fill="1F3864"/>
          </w:tcPr>
          <w:p>
            <w:r/>
            <w:r>
              <w:rPr>
                <w:rFonts w:ascii="Calibri" w:hAnsi="Calibri" w:cs="Calibri" w:eastAsia="Calibri"/>
                <w:b/>
                <w:i w:val="0"/>
                <w:color w:val="FFFFFF"/>
                <w:sz w:val="18"/>
                <w:szCs w:val="18"/>
                <w:bCs/>
              </w:rPr>
              <w:t>Timing</w:t>
            </w:r>
          </w:p>
        </w:tc>
      </w:tr>
      <w:tr>
        <w:tc>
          <w:tcPr>
            <w:tcW w:type="dxa" w:w="567"/>
          </w:tcPr>
          <w:p>
            <w:r/>
            <w:r>
              <w:rPr>
                <w:rFonts w:ascii="Calibri" w:hAnsi="Calibri" w:cs="Calibri" w:eastAsia="Calibri"/>
                <w:b w:val="0"/>
                <w:i w:val="0"/>
                <w:sz w:val="18"/>
                <w:szCs w:val="18"/>
              </w:rPr>
              <w:t>1</w:t>
            </w:r>
          </w:p>
        </w:tc>
        <w:tc>
          <w:tcPr>
            <w:tcW w:type="dxa" w:w="3402"/>
          </w:tcPr>
          <w:p>
            <w:r/>
            <w:r>
              <w:rPr>
                <w:rFonts w:ascii="Calibri" w:hAnsi="Calibri" w:cs="Calibri" w:eastAsia="Calibri"/>
                <w:b w:val="0"/>
                <w:i w:val="0"/>
                <w:sz w:val="18"/>
                <w:szCs w:val="18"/>
              </w:rPr>
              <w:t>Draft or revise the document using the approved template</w:t>
            </w:r>
          </w:p>
        </w:tc>
        <w:tc>
          <w:tcPr>
            <w:tcW w:type="dxa" w:w="1871"/>
          </w:tcPr>
          <w:p>
            <w:r/>
            <w:r>
              <w:rPr>
                <w:rFonts w:ascii="Calibri" w:hAnsi="Calibri" w:cs="Calibri" w:eastAsia="Calibri"/>
                <w:b w:val="0"/>
                <w:i w:val="0"/>
                <w:sz w:val="18"/>
                <w:szCs w:val="18"/>
              </w:rPr>
              <w:t>Document owner</w:t>
            </w:r>
          </w:p>
        </w:tc>
        <w:tc>
          <w:tcPr>
            <w:tcW w:type="dxa" w:w="1701"/>
          </w:tcPr>
          <w:p>
            <w:r/>
            <w:r>
              <w:rPr>
                <w:rFonts w:ascii="Calibri" w:hAnsi="Calibri" w:cs="Calibri" w:eastAsia="Calibri"/>
                <w:b w:val="0"/>
                <w:i w:val="0"/>
                <w:sz w:val="18"/>
                <w:szCs w:val="18"/>
              </w:rPr>
              <w:t>Draft</w:t>
            </w:r>
          </w:p>
        </w:tc>
        <w:tc>
          <w:tcPr>
            <w:tcW w:type="dxa" w:w="1814"/>
          </w:tcPr>
          <w:p>
            <w:r/>
            <w:r>
              <w:rPr>
                <w:rFonts w:ascii="Calibri" w:hAnsi="Calibri" w:cs="Calibri" w:eastAsia="Calibri"/>
                <w:b w:val="0"/>
                <w:i w:val="0"/>
                <w:sz w:val="18"/>
                <w:szCs w:val="18"/>
              </w:rPr>
              <w:t>As needed</w:t>
            </w:r>
          </w:p>
        </w:tc>
      </w:tr>
      <w:tr>
        <w:tc>
          <w:tcPr>
            <w:tcW w:type="dxa" w:w="567"/>
          </w:tcPr>
          <w:p>
            <w:r/>
            <w:r>
              <w:rPr>
                <w:rFonts w:ascii="Calibri" w:hAnsi="Calibri" w:cs="Calibri" w:eastAsia="Calibri"/>
                <w:b w:val="0"/>
                <w:i w:val="0"/>
                <w:sz w:val="18"/>
                <w:szCs w:val="18"/>
              </w:rPr>
              <w:t>2</w:t>
            </w:r>
          </w:p>
        </w:tc>
        <w:tc>
          <w:tcPr>
            <w:tcW w:type="dxa" w:w="3402"/>
          </w:tcPr>
          <w:p>
            <w:r/>
            <w:r>
              <w:rPr>
                <w:rFonts w:ascii="Calibri" w:hAnsi="Calibri" w:cs="Calibri" w:eastAsia="Calibri"/>
                <w:b w:val="0"/>
                <w:i w:val="0"/>
                <w:sz w:val="18"/>
                <w:szCs w:val="18"/>
              </w:rPr>
              <w:t>Review for accuracy, consistency with parent documents, and legal references</w:t>
            </w:r>
          </w:p>
        </w:tc>
        <w:tc>
          <w:tcPr>
            <w:tcW w:type="dxa" w:w="1871"/>
          </w:tcPr>
          <w:p>
            <w:r/>
            <w:r>
              <w:rPr>
                <w:rFonts w:ascii="Calibri" w:hAnsi="Calibri" w:cs="Calibri" w:eastAsia="Calibri"/>
                <w:b w:val="0"/>
                <w:i w:val="0"/>
                <w:sz w:val="18"/>
                <w:szCs w:val="18"/>
              </w:rPr>
              <w:t>Security Manager and affected units</w:t>
            </w:r>
          </w:p>
        </w:tc>
        <w:tc>
          <w:tcPr>
            <w:tcW w:type="dxa" w:w="1701"/>
          </w:tcPr>
          <w:p>
            <w:r/>
            <w:r>
              <w:rPr>
                <w:rFonts w:ascii="Calibri" w:hAnsi="Calibri" w:cs="Calibri" w:eastAsia="Calibri"/>
                <w:b w:val="0"/>
                <w:i w:val="0"/>
                <w:sz w:val="18"/>
                <w:szCs w:val="18"/>
              </w:rPr>
              <w:t>Review comments</w:t>
            </w:r>
          </w:p>
        </w:tc>
        <w:tc>
          <w:tcPr>
            <w:tcW w:type="dxa" w:w="1814"/>
          </w:tcPr>
          <w:p>
            <w:r/>
            <w:r>
              <w:rPr>
                <w:rFonts w:ascii="Calibri" w:hAnsi="Calibri" w:cs="Calibri" w:eastAsia="Calibri"/>
                <w:b w:val="0"/>
                <w:i w:val="0"/>
                <w:sz w:val="18"/>
                <w:szCs w:val="18"/>
              </w:rPr>
              <w:t>Within 10 working days</w:t>
            </w:r>
          </w:p>
        </w:tc>
      </w:tr>
      <w:tr>
        <w:tc>
          <w:tcPr>
            <w:tcW w:type="dxa" w:w="567"/>
          </w:tcPr>
          <w:p>
            <w:r/>
            <w:r>
              <w:rPr>
                <w:rFonts w:ascii="Calibri" w:hAnsi="Calibri" w:cs="Calibri" w:eastAsia="Calibri"/>
                <w:b w:val="0"/>
                <w:i w:val="0"/>
                <w:sz w:val="18"/>
                <w:szCs w:val="18"/>
              </w:rPr>
              <w:t>3</w:t>
            </w:r>
          </w:p>
        </w:tc>
        <w:tc>
          <w:tcPr>
            <w:tcW w:type="dxa" w:w="3402"/>
          </w:tcPr>
          <w:p>
            <w:r/>
            <w:r>
              <w:rPr>
                <w:rFonts w:ascii="Calibri" w:hAnsi="Calibri" w:cs="Calibri" w:eastAsia="Calibri"/>
                <w:b w:val="0"/>
                <w:i w:val="0"/>
                <w:sz w:val="18"/>
                <w:szCs w:val="18"/>
              </w:rPr>
              <w:t>Approve according to the approval matrix (Tier 0 to Tier 4)</w:t>
            </w:r>
          </w:p>
        </w:tc>
        <w:tc>
          <w:tcPr>
            <w:tcW w:type="dxa" w:w="1871"/>
          </w:tcPr>
          <w:p>
            <w:r/>
            <w:r>
              <w:rPr>
                <w:rFonts w:ascii="Calibri" w:hAnsi="Calibri" w:cs="Calibri" w:eastAsia="Calibri"/>
                <w:b w:val="0"/>
                <w:i w:val="0"/>
                <w:sz w:val="18"/>
                <w:szCs w:val="18"/>
              </w:rPr>
              <w:t>Approver</w:t>
            </w:r>
          </w:p>
        </w:tc>
        <w:tc>
          <w:tcPr>
            <w:tcW w:type="dxa" w:w="1701"/>
          </w:tcPr>
          <w:p>
            <w:r/>
            <w:r>
              <w:rPr>
                <w:rFonts w:ascii="Calibri" w:hAnsi="Calibri" w:cs="Calibri" w:eastAsia="Calibri"/>
                <w:b w:val="0"/>
                <w:i w:val="0"/>
                <w:sz w:val="18"/>
                <w:szCs w:val="18"/>
              </w:rPr>
              <w:t>Signed approval</w:t>
            </w:r>
          </w:p>
        </w:tc>
        <w:tc>
          <w:tcPr>
            <w:tcW w:type="dxa" w:w="1814"/>
          </w:tcPr>
          <w:p>
            <w:r/>
            <w:r>
              <w:rPr>
                <w:rFonts w:ascii="Calibri" w:hAnsi="Calibri" w:cs="Calibri" w:eastAsia="Calibri"/>
                <w:b w:val="0"/>
                <w:i w:val="0"/>
                <w:sz w:val="18"/>
                <w:szCs w:val="18"/>
              </w:rPr>
              <w:t>Next scheduled meeting or 5 working days</w:t>
            </w:r>
          </w:p>
        </w:tc>
      </w:tr>
      <w:tr>
        <w:tc>
          <w:tcPr>
            <w:tcW w:type="dxa" w:w="567"/>
          </w:tcPr>
          <w:p>
            <w:r/>
            <w:r>
              <w:rPr>
                <w:rFonts w:ascii="Calibri" w:hAnsi="Calibri" w:cs="Calibri" w:eastAsia="Calibri"/>
                <w:b w:val="0"/>
                <w:i w:val="0"/>
                <w:sz w:val="18"/>
                <w:szCs w:val="18"/>
              </w:rPr>
              <w:t>4</w:t>
            </w:r>
          </w:p>
        </w:tc>
        <w:tc>
          <w:tcPr>
            <w:tcW w:type="dxa" w:w="3402"/>
          </w:tcPr>
          <w:p>
            <w:r/>
            <w:r>
              <w:rPr>
                <w:rFonts w:ascii="Calibri" w:hAnsi="Calibri" w:cs="Calibri" w:eastAsia="Calibri"/>
                <w:b w:val="0"/>
                <w:i w:val="0"/>
                <w:sz w:val="18"/>
                <w:szCs w:val="18"/>
              </w:rPr>
              <w:t>Publish on the document repository, withdraw the old version, and notify users</w:t>
            </w:r>
          </w:p>
        </w:tc>
        <w:tc>
          <w:tcPr>
            <w:tcW w:type="dxa" w:w="1871"/>
          </w:tcPr>
          <w:p>
            <w:r/>
            <w:r>
              <w:rPr>
                <w:rFonts w:ascii="Calibri" w:hAnsi="Calibri" w:cs="Calibri" w:eastAsia="Calibri"/>
                <w:b w:val="0"/>
                <w:i w:val="0"/>
                <w:sz w:val="18"/>
                <w:szCs w:val="18"/>
              </w:rPr>
              <w:t>Document controller</w:t>
            </w:r>
          </w:p>
        </w:tc>
        <w:tc>
          <w:tcPr>
            <w:tcW w:type="dxa" w:w="1701"/>
          </w:tcPr>
          <w:p>
            <w:r/>
            <w:r>
              <w:rPr>
                <w:rFonts w:ascii="Calibri" w:hAnsi="Calibri" w:cs="Calibri" w:eastAsia="Calibri"/>
                <w:b w:val="0"/>
                <w:i w:val="0"/>
                <w:sz w:val="18"/>
                <w:szCs w:val="18"/>
              </w:rPr>
              <w:t>Published document</w:t>
            </w:r>
          </w:p>
        </w:tc>
        <w:tc>
          <w:tcPr>
            <w:tcW w:type="dxa" w:w="1814"/>
          </w:tcPr>
          <w:p>
            <w:r/>
            <w:r>
              <w:rPr>
                <w:rFonts w:ascii="Calibri" w:hAnsi="Calibri" w:cs="Calibri" w:eastAsia="Calibri"/>
                <w:b w:val="0"/>
                <w:i w:val="0"/>
                <w:sz w:val="18"/>
                <w:szCs w:val="18"/>
              </w:rPr>
              <w:t>Within 3 working days of approval</w:t>
            </w:r>
          </w:p>
        </w:tc>
      </w:tr>
      <w:tr>
        <w:tc>
          <w:tcPr>
            <w:tcW w:type="dxa" w:w="567"/>
          </w:tcPr>
          <w:p>
            <w:r/>
            <w:r>
              <w:rPr>
                <w:rFonts w:ascii="Calibri" w:hAnsi="Calibri" w:cs="Calibri" w:eastAsia="Calibri"/>
                <w:b w:val="0"/>
                <w:i w:val="0"/>
                <w:sz w:val="18"/>
                <w:szCs w:val="18"/>
              </w:rPr>
              <w:t>5</w:t>
            </w:r>
          </w:p>
        </w:tc>
        <w:tc>
          <w:tcPr>
            <w:tcW w:type="dxa" w:w="3402"/>
          </w:tcPr>
          <w:p>
            <w:r/>
            <w:r>
              <w:rPr>
                <w:rFonts w:ascii="Calibri" w:hAnsi="Calibri" w:cs="Calibri" w:eastAsia="Calibri"/>
                <w:b w:val="0"/>
                <w:i w:val="0"/>
                <w:sz w:val="18"/>
                <w:szCs w:val="18"/>
              </w:rPr>
              <w:t>Communicate and train affected users when the change affects their work</w:t>
            </w:r>
          </w:p>
        </w:tc>
        <w:tc>
          <w:tcPr>
            <w:tcW w:type="dxa" w:w="1871"/>
          </w:tcPr>
          <w:p>
            <w:r/>
            <w:r>
              <w:rPr>
                <w:rFonts w:ascii="Calibri" w:hAnsi="Calibri" w:cs="Calibri" w:eastAsia="Calibri"/>
                <w:b w:val="0"/>
                <w:i w:val="0"/>
                <w:sz w:val="18"/>
                <w:szCs w:val="18"/>
              </w:rPr>
              <w:t>Document owner</w:t>
            </w:r>
          </w:p>
        </w:tc>
        <w:tc>
          <w:tcPr>
            <w:tcW w:type="dxa" w:w="1701"/>
          </w:tcPr>
          <w:p>
            <w:r/>
            <w:r>
              <w:rPr>
                <w:rFonts w:ascii="Calibri" w:hAnsi="Calibri" w:cs="Calibri" w:eastAsia="Calibri"/>
                <w:b w:val="0"/>
                <w:i w:val="0"/>
                <w:sz w:val="18"/>
                <w:szCs w:val="18"/>
              </w:rPr>
              <w:t>Communication record</w:t>
            </w:r>
          </w:p>
        </w:tc>
        <w:tc>
          <w:tcPr>
            <w:tcW w:type="dxa" w:w="1814"/>
          </w:tcPr>
          <w:p>
            <w:r/>
            <w:r>
              <w:rPr>
                <w:rFonts w:ascii="Calibri" w:hAnsi="Calibri" w:cs="Calibri" w:eastAsia="Calibri"/>
                <w:b w:val="0"/>
                <w:i w:val="0"/>
                <w:sz w:val="18"/>
                <w:szCs w:val="18"/>
              </w:rPr>
              <w:t>Before the effective date</w:t>
            </w:r>
          </w:p>
        </w:tc>
      </w:tr>
      <w:tr>
        <w:tc>
          <w:tcPr>
            <w:tcW w:type="dxa" w:w="567"/>
          </w:tcPr>
          <w:p>
            <w:r/>
            <w:r>
              <w:rPr>
                <w:rFonts w:ascii="Calibri" w:hAnsi="Calibri" w:cs="Calibri" w:eastAsia="Calibri"/>
                <w:b w:val="0"/>
                <w:i w:val="0"/>
                <w:sz w:val="18"/>
                <w:szCs w:val="18"/>
              </w:rPr>
              <w:t>6</w:t>
            </w:r>
          </w:p>
        </w:tc>
        <w:tc>
          <w:tcPr>
            <w:tcW w:type="dxa" w:w="3402"/>
          </w:tcPr>
          <w:p>
            <w:r/>
            <w:r>
              <w:rPr>
                <w:rFonts w:ascii="Calibri" w:hAnsi="Calibri" w:cs="Calibri" w:eastAsia="Calibri"/>
                <w:b w:val="0"/>
                <w:i w:val="0"/>
                <w:sz w:val="18"/>
                <w:szCs w:val="18"/>
              </w:rPr>
              <w:t>Review at the defined cycle or after a trigger event</w:t>
            </w:r>
          </w:p>
        </w:tc>
        <w:tc>
          <w:tcPr>
            <w:tcW w:type="dxa" w:w="1871"/>
          </w:tcPr>
          <w:p>
            <w:r/>
            <w:r>
              <w:rPr>
                <w:rFonts w:ascii="Calibri" w:hAnsi="Calibri" w:cs="Calibri" w:eastAsia="Calibri"/>
                <w:b w:val="0"/>
                <w:i w:val="0"/>
                <w:sz w:val="18"/>
                <w:szCs w:val="18"/>
              </w:rPr>
              <w:t>Document owner</w:t>
            </w:r>
          </w:p>
        </w:tc>
        <w:tc>
          <w:tcPr>
            <w:tcW w:type="dxa" w:w="1701"/>
          </w:tcPr>
          <w:p>
            <w:r/>
            <w:r>
              <w:rPr>
                <w:rFonts w:ascii="Calibri" w:hAnsi="Calibri" w:cs="Calibri" w:eastAsia="Calibri"/>
                <w:b w:val="0"/>
                <w:i w:val="0"/>
                <w:sz w:val="18"/>
                <w:szCs w:val="18"/>
              </w:rPr>
              <w:t>Review record</w:t>
            </w:r>
          </w:p>
        </w:tc>
        <w:tc>
          <w:tcPr>
            <w:tcW w:type="dxa" w:w="1814"/>
          </w:tcPr>
          <w:p>
            <w:r/>
            <w:r>
              <w:rPr>
                <w:rFonts w:ascii="Calibri" w:hAnsi="Calibri" w:cs="Calibri" w:eastAsia="Calibri"/>
                <w:b w:val="0"/>
                <w:i w:val="0"/>
                <w:sz w:val="18"/>
                <w:szCs w:val="18"/>
              </w:rPr>
              <w:t>Per review cycle</w:t>
            </w:r>
          </w:p>
        </w:tc>
      </w:tr>
      <w:tr>
        <w:tc>
          <w:tcPr>
            <w:tcW w:type="dxa" w:w="567"/>
          </w:tcPr>
          <w:p>
            <w:r/>
            <w:r>
              <w:rPr>
                <w:rFonts w:ascii="Calibri" w:hAnsi="Calibri" w:cs="Calibri" w:eastAsia="Calibri"/>
                <w:b w:val="0"/>
                <w:i w:val="0"/>
                <w:sz w:val="18"/>
                <w:szCs w:val="18"/>
              </w:rPr>
              <w:t>7</w:t>
            </w:r>
          </w:p>
        </w:tc>
        <w:tc>
          <w:tcPr>
            <w:tcW w:type="dxa" w:w="3402"/>
          </w:tcPr>
          <w:p>
            <w:r/>
            <w:r>
              <w:rPr>
                <w:rFonts w:ascii="Calibri" w:hAnsi="Calibri" w:cs="Calibri" w:eastAsia="Calibri"/>
                <w:b w:val="0"/>
                <w:i w:val="0"/>
                <w:sz w:val="18"/>
                <w:szCs w:val="18"/>
              </w:rPr>
              <w:t>Retire obsolete documents and keep one archived copy</w:t>
            </w:r>
          </w:p>
        </w:tc>
        <w:tc>
          <w:tcPr>
            <w:tcW w:type="dxa" w:w="1871"/>
          </w:tcPr>
          <w:p>
            <w:r/>
            <w:r>
              <w:rPr>
                <w:rFonts w:ascii="Calibri" w:hAnsi="Calibri" w:cs="Calibri" w:eastAsia="Calibri"/>
                <w:b w:val="0"/>
                <w:i w:val="0"/>
                <w:sz w:val="18"/>
                <w:szCs w:val="18"/>
              </w:rPr>
              <w:t>Document controller</w:t>
            </w:r>
          </w:p>
        </w:tc>
        <w:tc>
          <w:tcPr>
            <w:tcW w:type="dxa" w:w="1701"/>
          </w:tcPr>
          <w:p>
            <w:r/>
            <w:r>
              <w:rPr>
                <w:rFonts w:ascii="Calibri" w:hAnsi="Calibri" w:cs="Calibri" w:eastAsia="Calibri"/>
                <w:b w:val="0"/>
                <w:i w:val="0"/>
                <w:sz w:val="18"/>
                <w:szCs w:val="18"/>
              </w:rPr>
              <w:t>Archived copy</w:t>
            </w:r>
          </w:p>
        </w:tc>
        <w:tc>
          <w:tcPr>
            <w:tcW w:type="dxa" w:w="1814"/>
          </w:tcPr>
          <w:p>
            <w:r/>
            <w:r>
              <w:rPr>
                <w:rFonts w:ascii="Calibri" w:hAnsi="Calibri" w:cs="Calibri" w:eastAsia="Calibri"/>
                <w:b w:val="0"/>
                <w:i w:val="0"/>
                <w:sz w:val="18"/>
                <w:szCs w:val="18"/>
              </w:rPr>
              <w:t>On retirement</w:t>
            </w:r>
          </w:p>
        </w:tc>
      </w:tr>
    </w:tbl>
    <w:p>
      <w:pPr>
        <w:spacing w:after="40"/>
      </w:pPr>
    </w:p>
    <w:p>
      <w:pPr>
        <w:pStyle w:val="Heading2"/>
        <w:keepNext/>
        <w:spacing w:before="120" w:after="80"/>
      </w:pPr>
      <w:r>
        <w:rPr>
          <w:rFonts w:ascii="Calibri" w:hAnsi="Calibri" w:cs="Calibri" w:eastAsia="Calibri"/>
          <w:b/>
          <w:i w:val="0"/>
          <w:color w:val="1F3864"/>
          <w:sz w:val="24"/>
          <w:szCs w:val="24"/>
          <w:bCs/>
        </w:rPr>
        <w:t>4.5 Approval Matrix</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who approves each document tier and where exceptions are recorded. The approver of a T0 to T3 document must not be its author.</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381"/>
        <w:gridCol w:w="2268"/>
        <w:gridCol w:w="4706"/>
      </w:tblGrid>
      <w:tr>
        <w:trPr>
          <w:tblHeader w:val="true"/>
        </w:trPr>
        <w:tc>
          <w:tcPr>
            <w:tcW w:type="dxa" w:w="2381"/>
            <w:shd w:val="clear" w:color="auto" w:fill="1F3864"/>
          </w:tcPr>
          <w:p>
            <w:r/>
            <w:r>
              <w:rPr>
                <w:rFonts w:ascii="Calibri" w:hAnsi="Calibri" w:cs="Calibri" w:eastAsia="Calibri"/>
                <w:b/>
                <w:i w:val="0"/>
                <w:color w:val="FFFFFF"/>
                <w:sz w:val="18"/>
                <w:szCs w:val="18"/>
                <w:bCs/>
              </w:rPr>
              <w:t>Tier</w:t>
            </w:r>
          </w:p>
        </w:tc>
        <w:tc>
          <w:tcPr>
            <w:tcW w:type="dxa" w:w="2268"/>
            <w:shd w:val="clear" w:color="auto" w:fill="1F3864"/>
          </w:tcPr>
          <w:p>
            <w:r/>
            <w:r>
              <w:rPr>
                <w:rFonts w:ascii="Calibri" w:hAnsi="Calibri" w:cs="Calibri" w:eastAsia="Calibri"/>
                <w:b/>
                <w:i w:val="0"/>
                <w:color w:val="FFFFFF"/>
                <w:sz w:val="18"/>
                <w:szCs w:val="18"/>
                <w:bCs/>
              </w:rPr>
              <w:t>Default approver</w:t>
            </w:r>
          </w:p>
        </w:tc>
        <w:tc>
          <w:tcPr>
            <w:tcW w:type="dxa" w:w="4706"/>
            <w:shd w:val="clear" w:color="auto" w:fill="1F3864"/>
          </w:tcPr>
          <w:p>
            <w:r/>
            <w:r>
              <w:rPr>
                <w:rFonts w:ascii="Calibri" w:hAnsi="Calibri" w:cs="Calibri" w:eastAsia="Calibri"/>
                <w:b/>
                <w:i w:val="0"/>
                <w:color w:val="FFFFFF"/>
                <w:sz w:val="18"/>
                <w:szCs w:val="18"/>
                <w:bCs/>
              </w:rPr>
              <w:t>Exceptions named in the document register</w:t>
            </w:r>
          </w:p>
        </w:tc>
      </w:tr>
      <w:tr>
        <w:tc>
          <w:tcPr>
            <w:tcW w:type="dxa" w:w="2381"/>
          </w:tcPr>
          <w:p>
            <w:r/>
            <w:r>
              <w:rPr>
                <w:rFonts w:ascii="Calibri" w:hAnsi="Calibri" w:cs="Calibri" w:eastAsia="Calibri"/>
                <w:b w:val="0"/>
                <w:i w:val="0"/>
                <w:sz w:val="18"/>
                <w:szCs w:val="18"/>
              </w:rPr>
              <w:t>T0 Charter, strategy, statement</w:t>
            </w:r>
          </w:p>
        </w:tc>
        <w:tc>
          <w:tcPr>
            <w:tcW w:type="dxa" w:w="2268"/>
          </w:tcPr>
          <w:p>
            <w:r/>
            <w:r>
              <w:rPr>
                <w:rFonts w:ascii="Calibri" w:hAnsi="Calibri" w:cs="Calibri" w:eastAsia="Calibri"/>
                <w:b w:val="0"/>
                <w:i w:val="0"/>
                <w:sz w:val="18"/>
                <w:szCs w:val="18"/>
              </w:rPr>
              <w:t>CMC Board of Directors</w:t>
            </w:r>
          </w:p>
        </w:tc>
        <w:tc>
          <w:tcPr>
            <w:tcW w:type="dxa" w:w="4706"/>
          </w:tcPr>
          <w:p>
            <w:r/>
            <w:r>
              <w:rPr>
                <w:rFonts w:ascii="Calibri" w:hAnsi="Calibri" w:cs="Calibri" w:eastAsia="Calibri"/>
                <w:b w:val="0"/>
                <w:i w:val="0"/>
                <w:sz w:val="18"/>
                <w:szCs w:val="18"/>
              </w:rPr>
              <w:t>Chief Executive Officer (CEO) for committee terms of reference</w:t>
            </w:r>
          </w:p>
        </w:tc>
      </w:tr>
      <w:tr>
        <w:tc>
          <w:tcPr>
            <w:tcW w:type="dxa" w:w="2381"/>
          </w:tcPr>
          <w:p>
            <w:r/>
            <w:r>
              <w:rPr>
                <w:rFonts w:ascii="Calibri" w:hAnsi="Calibri" w:cs="Calibri" w:eastAsia="Calibri"/>
                <w:b w:val="0"/>
                <w:i w:val="0"/>
                <w:sz w:val="18"/>
                <w:szCs w:val="18"/>
              </w:rPr>
              <w:t>T1 Policy</w:t>
            </w:r>
          </w:p>
        </w:tc>
        <w:tc>
          <w:tcPr>
            <w:tcW w:type="dxa" w:w="2268"/>
          </w:tcPr>
          <w:p>
            <w:r/>
            <w:r>
              <w:rPr>
                <w:rFonts w:ascii="Calibri" w:hAnsi="Calibri" w:cs="Calibri" w:eastAsia="Calibri"/>
                <w:b w:val="0"/>
                <w:i w:val="0"/>
                <w:sz w:val="18"/>
                <w:szCs w:val="18"/>
              </w:rPr>
              <w:t>Chief Executive Officer (CEO)</w:t>
            </w:r>
          </w:p>
        </w:tc>
        <w:tc>
          <w:tcPr>
            <w:tcW w:type="dxa" w:w="4706"/>
          </w:tcPr>
          <w:p>
            <w:r/>
            <w:r>
              <w:rPr>
                <w:rFonts w:ascii="Calibri" w:hAnsi="Calibri" w:cs="Calibri" w:eastAsia="Calibri"/>
                <w:b w:val="0"/>
                <w:i w:val="0"/>
                <w:sz w:val="18"/>
                <w:szCs w:val="18"/>
              </w:rPr>
              <w:t>None</w:t>
            </w:r>
          </w:p>
        </w:tc>
      </w:tr>
      <w:tr>
        <w:tc>
          <w:tcPr>
            <w:tcW w:type="dxa" w:w="2381"/>
          </w:tcPr>
          <w:p>
            <w:r/>
            <w:r>
              <w:rPr>
                <w:rFonts w:ascii="Calibri" w:hAnsi="Calibri" w:cs="Calibri" w:eastAsia="Calibri"/>
                <w:b w:val="0"/>
                <w:i w:val="0"/>
                <w:sz w:val="18"/>
                <w:szCs w:val="18"/>
              </w:rPr>
              <w:t>T2 Standard</w:t>
            </w:r>
          </w:p>
        </w:tc>
        <w:tc>
          <w:tcPr>
            <w:tcW w:type="dxa" w:w="2268"/>
          </w:tcPr>
          <w:p>
            <w:r/>
            <w:r>
              <w:rPr>
                <w:rFonts w:ascii="Calibri" w:hAnsi="Calibri" w:cs="Calibri" w:eastAsia="Calibri"/>
                <w:b w:val="0"/>
                <w:i w:val="0"/>
                <w:sz w:val="18"/>
                <w:szCs w:val="18"/>
              </w:rPr>
              <w:t>Chief Information Officer (CIO) after ISSC endorsement</w:t>
            </w:r>
          </w:p>
        </w:tc>
        <w:tc>
          <w:tcPr>
            <w:tcW w:type="dxa" w:w="4706"/>
          </w:tcPr>
          <w:p>
            <w:r/>
            <w:r>
              <w:rPr>
                <w:rFonts w:ascii="Calibri" w:hAnsi="Calibri" w:cs="Calibri" w:eastAsia="Calibri"/>
                <w:b w:val="0"/>
                <w:i w:val="0"/>
                <w:sz w:val="18"/>
                <w:szCs w:val="18"/>
              </w:rPr>
              <w:t>Information Security Steering Committee (ISSC) for standards that bind several departments, such as human resources security</w:t>
            </w:r>
          </w:p>
        </w:tc>
      </w:tr>
      <w:tr>
        <w:tc>
          <w:tcPr>
            <w:tcW w:type="dxa" w:w="2381"/>
          </w:tcPr>
          <w:p>
            <w:r/>
            <w:r>
              <w:rPr>
                <w:rFonts w:ascii="Calibri" w:hAnsi="Calibri" w:cs="Calibri" w:eastAsia="Calibri"/>
                <w:b w:val="0"/>
                <w:i w:val="0"/>
                <w:sz w:val="18"/>
                <w:szCs w:val="18"/>
              </w:rPr>
              <w:t>T3 Procedure, plan, playbook, guideline</w:t>
            </w:r>
          </w:p>
        </w:tc>
        <w:tc>
          <w:tcPr>
            <w:tcW w:type="dxa" w:w="2268"/>
          </w:tcPr>
          <w:p>
            <w:r/>
            <w:r>
              <w:rPr>
                <w:rFonts w:ascii="Calibri" w:hAnsi="Calibri" w:cs="Calibri" w:eastAsia="Calibri"/>
                <w:b w:val="0"/>
                <w:i w:val="0"/>
                <w:sz w:val="18"/>
                <w:szCs w:val="18"/>
              </w:rPr>
              <w:t>Chief Information Officer (CIO)</w:t>
            </w:r>
          </w:p>
        </w:tc>
        <w:tc>
          <w:tcPr>
            <w:tcW w:type="dxa" w:w="4706"/>
          </w:tcPr>
          <w:p>
            <w:r/>
            <w:r>
              <w:rPr>
                <w:rFonts w:ascii="Calibri" w:hAnsi="Calibri" w:cs="Calibri" w:eastAsia="Calibri"/>
                <w:b w:val="0"/>
                <w:i w:val="0"/>
                <w:sz w:val="18"/>
                <w:szCs w:val="18"/>
              </w:rPr>
              <w:t>Chief Executive Officer (CEO) for organization-wide plans (incident response, continuity, crisis); Information Security Steering Committee (ISSC) for risk, privacy, improvement, and program documents; CMC Audit Committee for internal audit; Chief Financial Officer (CFO) for the budget plan; Security Manager for security operations procedures</w:t>
            </w:r>
          </w:p>
        </w:tc>
      </w:tr>
      <w:tr>
        <w:tc>
          <w:tcPr>
            <w:tcW w:type="dxa" w:w="2381"/>
          </w:tcPr>
          <w:p>
            <w:r/>
            <w:r>
              <w:rPr>
                <w:rFonts w:ascii="Calibri" w:hAnsi="Calibri" w:cs="Calibri" w:eastAsia="Calibri"/>
                <w:b w:val="0"/>
                <w:i w:val="0"/>
                <w:sz w:val="18"/>
                <w:szCs w:val="18"/>
              </w:rPr>
              <w:t>T4 Form, register, record, report, template</w:t>
            </w:r>
          </w:p>
        </w:tc>
        <w:tc>
          <w:tcPr>
            <w:tcW w:type="dxa" w:w="2268"/>
          </w:tcPr>
          <w:p>
            <w:r/>
            <w:r>
              <w:rPr>
                <w:rFonts w:ascii="Calibri" w:hAnsi="Calibri" w:cs="Calibri" w:eastAsia="Calibri"/>
                <w:b w:val="0"/>
                <w:i w:val="0"/>
                <w:sz w:val="18"/>
                <w:szCs w:val="18"/>
              </w:rPr>
              <w:t>Process owner</w:t>
            </w:r>
          </w:p>
        </w:tc>
        <w:tc>
          <w:tcPr>
            <w:tcW w:type="dxa" w:w="4706"/>
          </w:tcPr>
          <w:p>
            <w:r/>
            <w:r>
              <w:rPr>
                <w:rFonts w:ascii="Calibri" w:hAnsi="Calibri" w:cs="Calibri" w:eastAsia="Calibri"/>
                <w:b w:val="0"/>
                <w:i w:val="0"/>
                <w:sz w:val="18"/>
                <w:szCs w:val="18"/>
              </w:rPr>
              <w:t>Security Manager, Chief Information Officer (CIO), or Information Security Steering Committee (ISSC) for registers and reports that feed management decisions</w:t>
            </w:r>
          </w:p>
        </w:tc>
      </w:tr>
    </w:tbl>
    <w:p>
      <w:pPr>
        <w:spacing w:after="40"/>
      </w:pPr>
    </w:p>
    <w:p>
      <w:pPr>
        <w:pStyle w:val="Heading2"/>
        <w:keepNext/>
        <w:spacing w:before="120" w:after="80"/>
      </w:pPr>
      <w:r>
        <w:rPr>
          <w:rFonts w:ascii="Calibri" w:hAnsi="Calibri" w:cs="Calibri" w:eastAsia="Calibri"/>
          <w:b/>
          <w:i w:val="0"/>
          <w:color w:val="1F3864"/>
          <w:sz w:val="24"/>
          <w:szCs w:val="24"/>
          <w:bCs/>
        </w:rPr>
        <w:t>4.6 Storage, Access, and Retention</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where controlled documents and records are stored, who can change them, and how long obsolete versions are kept (ISO/IEC 27001:2022 Clause 7.5.3).</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CMC stores approved documents in a SharePoint Online library named Security Document Center, with version history enabled and read-only access for all staff.</w:t>
      </w:r>
    </w:p>
    <w:p>
      <w:pPr>
        <w:pStyle w:val="ListBullet"/>
        <w:spacing w:after="40"/>
      </w:pPr>
      <w:r>
        <w:rPr>
          <w:rFonts w:ascii="Calibri" w:hAnsi="Calibri" w:cs="Calibri" w:eastAsia="Calibri"/>
          <w:b w:val="0"/>
          <w:i w:val="0"/>
          <w:sz w:val="21"/>
          <w:szCs w:val="21"/>
        </w:rPr>
        <w:t>Only the Security Manager (document controller) and named owners can edit.</w:t>
      </w:r>
    </w:p>
    <w:p>
      <w:pPr>
        <w:pStyle w:val="ListBullet"/>
        <w:spacing w:after="40"/>
      </w:pPr>
      <w:r>
        <w:rPr>
          <w:rFonts w:ascii="Calibri" w:hAnsi="Calibri" w:cs="Calibri" w:eastAsia="Calibri"/>
          <w:b w:val="0"/>
          <w:i w:val="0"/>
          <w:sz w:val="21"/>
          <w:szCs w:val="21"/>
        </w:rPr>
        <w:t>Superseded versions are kept for five years to support HA and CII audit evidence.</w:t>
      </w:r>
    </w:p>
    <w:p>
      <w:pPr>
        <w:pStyle w:val="ListBullet"/>
        <w:spacing w:after="40"/>
      </w:pPr>
      <w:r>
        <w:rPr>
          <w:rFonts w:ascii="Calibri" w:hAnsi="Calibri" w:cs="Calibri" w:eastAsia="Calibri"/>
          <w:b w:val="0"/>
          <w:i w:val="0"/>
          <w:sz w:val="21"/>
          <w:szCs w:val="21"/>
        </w:rPr>
        <w:t>Printed copies at nursing stations are marked UNCONTROLLED WHEN PRINTED.</w:t>
      </w:r>
    </w:p>
    <w:p>
      <w:pPr>
        <w:pStyle w:val="Heading2"/>
        <w:keepNext/>
        <w:spacing w:before="120" w:after="80"/>
      </w:pPr>
      <w:r>
        <w:rPr>
          <w:rFonts w:ascii="Calibri" w:hAnsi="Calibri" w:cs="Calibri" w:eastAsia="Calibri"/>
          <w:b/>
          <w:i w:val="0"/>
          <w:color w:val="1F3864"/>
          <w:sz w:val="24"/>
          <w:szCs w:val="24"/>
          <w:bCs/>
        </w:rPr>
        <w:t>4.7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Maintain a master document register (see 00_Master) that lists every document with owner, version, and next review date, and report overdue reviews to the ISSC.</w:t>
      </w:r>
    </w:p>
    <w:p>
      <w:pPr>
        <w:pStyle w:val="ListBullet"/>
        <w:spacing w:after="40"/>
      </w:pPr>
      <w:r>
        <w:rPr>
          <w:rFonts w:ascii="Calibri" w:hAnsi="Calibri" w:cs="Calibri" w:eastAsia="Calibri"/>
          <w:b w:val="0"/>
          <w:i w:val="0"/>
          <w:sz w:val="21"/>
          <w:szCs w:val="21"/>
        </w:rPr>
        <w:t>Use electronic approval workflows to create an audit trail instead of wet signatures.</w:t>
      </w:r>
    </w:p>
    <w:p>
      <w:pPr>
        <w:pStyle w:val="ListBullet"/>
        <w:spacing w:after="40"/>
      </w:pPr>
      <w:r>
        <w:rPr>
          <w:rFonts w:ascii="Calibri" w:hAnsi="Calibri" w:cs="Calibri" w:eastAsia="Calibri"/>
          <w:b w:val="0"/>
          <w:i w:val="0"/>
          <w:sz w:val="21"/>
          <w:szCs w:val="21"/>
        </w:rPr>
        <w:t>Combine related documents where the organization is small; ISO/IEC 27001 requires documented information, not a fixed number of documents.</w:t>
      </w:r>
    </w:p>
    <w:p>
      <w:pPr>
        <w:pStyle w:val="ListBullet"/>
        <w:spacing w:after="40"/>
      </w:pPr>
      <w:r>
        <w:rPr>
          <w:rFonts w:ascii="Calibri" w:hAnsi="Calibri" w:cs="Calibri" w:eastAsia="Calibri"/>
          <w:b w:val="0"/>
          <w:i w:val="0"/>
          <w:sz w:val="21"/>
          <w:szCs w:val="21"/>
        </w:rPr>
        <w:t>Define trigger events for out-of-cycle review, such as a major incident, new regulation, or organizational change.</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Several versions of the same policy circulate by email, and nobody knows which one is current.</w:t>
      </w:r>
    </w:p>
    <w:p>
      <w:pPr>
        <w:pStyle w:val="ListBullet"/>
        <w:spacing w:after="40"/>
      </w:pPr>
      <w:r>
        <w:rPr>
          <w:rFonts w:ascii="Calibri" w:hAnsi="Calibri" w:cs="Calibri" w:eastAsia="Calibri"/>
          <w:b w:val="0"/>
          <w:i w:val="0"/>
          <w:sz w:val="21"/>
          <w:szCs w:val="21"/>
        </w:rPr>
        <w:t>Review dates pass without action because no one tracks them.</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GV.PO-02: Cybersecurity policy is reviewed, updated, communicated, and enforced to reflect changes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7.5, Annex A.5.37</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PL-1, PM-1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7.5 (control of documented information; a procedure is not mandated)</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GV-PRC-002  |  Document Control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