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Data Protection Impact Assessment (DPIA) Procedure</w:t>
      </w:r>
    </w:p>
    <w:p>
      <w:pPr>
        <w:spacing w:after="80" w:before="0"/>
      </w:pPr>
      <w:r>
        <w:rPr>
          <w:rFonts w:ascii="Calibri" w:hAnsi="Calibri" w:cs="Calibri" w:eastAsia="Calibri"/>
          <w:b w:val="0"/>
          <w:i w:val="0"/>
          <w:color w:val="595959"/>
          <w:sz w:val="18"/>
          <w:szCs w:val="18"/>
        </w:rPr>
        <w:t>GV-PRC-004  |  Procedure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GV-PRC-004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Data Protection Impact Assessment (DPIA)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12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12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Not explicitly mandated by the PDPA; supports the risk-based measures in PDPA s.37(1) [VERIFY current PDPC guidance]</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8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12 March 2026</w:t>
            </w:r>
          </w:p>
        </w:tc>
        <w:tc>
          <w:tcPr>
            <w:tcW w:type="dxa" w:w="3742"/>
          </w:tcPr>
          <w:p>
            <w:r/>
            <w:r>
              <w:rPr>
                <w:rFonts w:ascii="Calibri" w:hAnsi="Calibri" w:cs="Calibri" w:eastAsia="Calibri"/>
                <w:b w:val="0"/>
                <w:i w:val="0"/>
                <w:sz w:val="18"/>
                <w:szCs w:val="18"/>
              </w:rPr>
              <w:t>Updated in July 2026 after the DPIA for Microsoft 365 Copilot clinical documentation pilot; added AI as an explicit trigger.</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when and how to assess the privacy risks of a new or changed processing activity before it starts, so that high risks are reduced or accepted at the right level.</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DPIA Triggers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screening criteria that make a DPIA mandatory.</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Large-scale processing of sensitive data under PDPA s.26.</w:t>
      </w:r>
    </w:p>
    <w:p>
      <w:pPr>
        <w:pStyle w:val="ListBullet"/>
        <w:spacing w:after="40"/>
      </w:pPr>
      <w:r>
        <w:rPr>
          <w:rFonts w:ascii="Calibri" w:hAnsi="Calibri" w:cs="Calibri" w:eastAsia="Calibri"/>
          <w:b w:val="0"/>
          <w:i w:val="0"/>
          <w:sz w:val="21"/>
          <w:szCs w:val="21"/>
        </w:rPr>
        <w:t>Systematic monitoring of individuals, such as CCTV analytics or employee monitoring.</w:t>
      </w:r>
    </w:p>
    <w:p>
      <w:pPr>
        <w:pStyle w:val="ListBullet"/>
        <w:spacing w:after="40"/>
      </w:pPr>
      <w:r>
        <w:rPr>
          <w:rFonts w:ascii="Calibri" w:hAnsi="Calibri" w:cs="Calibri" w:eastAsia="Calibri"/>
          <w:b w:val="0"/>
          <w:i w:val="0"/>
          <w:sz w:val="21"/>
          <w:szCs w:val="21"/>
        </w:rPr>
        <w:t>New technology such as AI, biometrics, or location tracking.</w:t>
      </w:r>
    </w:p>
    <w:p>
      <w:pPr>
        <w:pStyle w:val="ListBullet"/>
        <w:spacing w:after="40"/>
      </w:pPr>
      <w:r>
        <w:rPr>
          <w:rFonts w:ascii="Calibri" w:hAnsi="Calibri" w:cs="Calibri" w:eastAsia="Calibri"/>
          <w:b w:val="0"/>
          <w:i w:val="0"/>
          <w:sz w:val="21"/>
          <w:szCs w:val="21"/>
        </w:rPr>
        <w:t>Combining data sets from different sources.</w:t>
      </w:r>
    </w:p>
    <w:p>
      <w:pPr>
        <w:pStyle w:val="ListBullet"/>
        <w:spacing w:after="40"/>
      </w:pPr>
      <w:r>
        <w:rPr>
          <w:rFonts w:ascii="Calibri" w:hAnsi="Calibri" w:cs="Calibri" w:eastAsia="Calibri"/>
          <w:b w:val="0"/>
          <w:i w:val="0"/>
          <w:sz w:val="21"/>
          <w:szCs w:val="21"/>
        </w:rPr>
        <w:t>Cross-border transfer to a country without adequate protection.</w:t>
      </w:r>
    </w:p>
    <w:p>
      <w:pPr>
        <w:pStyle w:val="ListBullet"/>
        <w:spacing w:after="40"/>
      </w:pPr>
      <w:r>
        <w:rPr>
          <w:rFonts w:ascii="Calibri" w:hAnsi="Calibri" w:cs="Calibri" w:eastAsia="Calibri"/>
          <w:b w:val="0"/>
          <w:i w:val="0"/>
          <w:sz w:val="21"/>
          <w:szCs w:val="21"/>
        </w:rPr>
        <w:t>Any processing that could lead to discrimination, financial loss, or physical harm.</w:t>
      </w:r>
    </w:p>
    <w:p>
      <w:pPr>
        <w:pStyle w:val="Heading2"/>
        <w:keepNext/>
        <w:spacing w:before="120" w:after="80"/>
      </w:pPr>
      <w:r>
        <w:rPr>
          <w:rFonts w:ascii="Calibri" w:hAnsi="Calibri" w:cs="Calibri" w:eastAsia="Calibri"/>
          <w:b/>
          <w:i w:val="0"/>
          <w:color w:val="1F3864"/>
          <w:sz w:val="24"/>
          <w:szCs w:val="24"/>
          <w:bCs/>
        </w:rPr>
        <w:t>4.4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steps from screening to sign-off and review.</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Project owner completes the DPIA screening questions when a project starts.</w:t>
      </w:r>
    </w:p>
    <w:p>
      <w:pPr>
        <w:pStyle w:val="ListNumber"/>
        <w:spacing w:after="40"/>
      </w:pPr>
      <w:r>
        <w:rPr>
          <w:rFonts w:ascii="Calibri" w:hAnsi="Calibri" w:cs="Calibri" w:eastAsia="Calibri"/>
          <w:b w:val="0"/>
          <w:i w:val="0"/>
          <w:sz w:val="21"/>
          <w:szCs w:val="21"/>
        </w:rPr>
        <w:t>If any trigger applies, the project owner completes the DPIA Template (GV-TPL-003) with Data Protection Officer (DPO) support.</w:t>
      </w:r>
    </w:p>
    <w:p>
      <w:pPr>
        <w:pStyle w:val="ListNumber"/>
        <w:spacing w:after="40"/>
      </w:pPr>
      <w:r>
        <w:rPr>
          <w:rFonts w:ascii="Calibri" w:hAnsi="Calibri" w:cs="Calibri" w:eastAsia="Calibri"/>
          <w:b w:val="0"/>
          <w:i w:val="0"/>
          <w:sz w:val="21"/>
          <w:szCs w:val="21"/>
        </w:rPr>
        <w:t>Security Manager assesses security controls; Data Protection Officer (DPO) assesses legal compliance and necessity.</w:t>
      </w:r>
    </w:p>
    <w:p>
      <w:pPr>
        <w:pStyle w:val="ListNumber"/>
        <w:spacing w:after="40"/>
      </w:pPr>
      <w:r>
        <w:rPr>
          <w:rFonts w:ascii="Calibri" w:hAnsi="Calibri" w:cs="Calibri" w:eastAsia="Calibri"/>
          <w:b w:val="0"/>
          <w:i w:val="0"/>
          <w:sz w:val="21"/>
          <w:szCs w:val="21"/>
        </w:rPr>
        <w:t>Identify measures to reduce each high risk and re-rate residual risk.</w:t>
      </w:r>
    </w:p>
    <w:p>
      <w:pPr>
        <w:pStyle w:val="ListNumber"/>
        <w:spacing w:after="40"/>
      </w:pPr>
      <w:r>
        <w:rPr>
          <w:rFonts w:ascii="Calibri" w:hAnsi="Calibri" w:cs="Calibri" w:eastAsia="Calibri"/>
          <w:b w:val="0"/>
          <w:i w:val="0"/>
          <w:sz w:val="21"/>
          <w:szCs w:val="21"/>
        </w:rPr>
        <w:t>Data Protection Officer (DPO) gives a written opinion. High residual risk requires approval by Chief Executive Officer (CEO) before processing starts.</w:t>
      </w:r>
    </w:p>
    <w:p>
      <w:pPr>
        <w:pStyle w:val="ListNumber"/>
        <w:spacing w:after="40"/>
      </w:pPr>
      <w:r>
        <w:rPr>
          <w:rFonts w:ascii="Calibri" w:hAnsi="Calibri" w:cs="Calibri" w:eastAsia="Calibri"/>
          <w:b w:val="0"/>
          <w:i w:val="0"/>
          <w:sz w:val="21"/>
          <w:szCs w:val="21"/>
        </w:rPr>
        <w:t>Record the DPIA in the ROPA entry and review it when the processing changes or at least every two years.</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GV-TPL-003: DPIA Template</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Build DPIA screening into project intake and procurement so it is not missed.</w:t>
      </w:r>
    </w:p>
    <w:p>
      <w:pPr>
        <w:pStyle w:val="ListBullet"/>
        <w:spacing w:after="40"/>
      </w:pPr>
      <w:r>
        <w:rPr>
          <w:rFonts w:ascii="Calibri" w:hAnsi="Calibri" w:cs="Calibri" w:eastAsia="Calibri"/>
          <w:b w:val="0"/>
          <w:i w:val="0"/>
          <w:sz w:val="21"/>
          <w:szCs w:val="21"/>
        </w:rPr>
        <w:t>Run the DPIA and the security risk assessment together to avoid duplicate work.</w:t>
      </w:r>
    </w:p>
    <w:p>
      <w:pPr>
        <w:pStyle w:val="ListBullet"/>
        <w:spacing w:after="40"/>
      </w:pPr>
      <w:r>
        <w:rPr>
          <w:rFonts w:ascii="Calibri" w:hAnsi="Calibri" w:cs="Calibri" w:eastAsia="Calibri"/>
          <w:b w:val="0"/>
          <w:i w:val="0"/>
          <w:sz w:val="21"/>
          <w:szCs w:val="21"/>
        </w:rPr>
        <w:t>Use ISO/IEC 29134 as a reference method.</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Completing the DPIA after go-live, when design changes are expensive.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GV.OC-03: Legal, regulatory, and contractual cybersecurity requirements are understood and managed</w:t>
            </w:r>
          </w:p>
          <w:p>
            <w:r>
              <w:rPr>
                <w:rFonts w:ascii="Calibri" w:hAnsi="Calibri" w:cs="Calibri" w:eastAsia="Calibri"/>
                <w:b w:val="0"/>
                <w:i w:val="0"/>
                <w:sz w:val="18"/>
                <w:szCs w:val="18"/>
              </w:rPr>
              <w:t>ID.RA-04: Potential impacts and likelihoods of threats exploiting vulnerabilities are identified and recorded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Not explicitly mandated by the PDPA; supports the risk-based measures in PDPA s.37(1) [VERIFY current PDPC guidance]</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GV-POL-004: Personal Data Protection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GV-TPL-003: DPIA Template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GV-PRC-004  |  Data Protection Impact Assessment (DPIA)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