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Subject Rights Request Procedure</w:t>
      </w:r>
    </w:p>
    <w:p>
      <w:pPr>
        <w:spacing w:after="80" w:before="0"/>
      </w:pPr>
      <w:r>
        <w:rPr>
          <w:rFonts w:ascii="Calibri" w:hAnsi="Calibri" w:cs="Calibri" w:eastAsia="Calibri"/>
          <w:b w:val="0"/>
          <w:i w:val="0"/>
          <w:color w:val="595959"/>
          <w:sz w:val="18"/>
          <w:szCs w:val="18"/>
        </w:rPr>
        <w:t>GV-PRC-005  |  Procedure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Subject Rights Request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7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7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s.30 to s.36 (data subject rights; 30-day response under s.30)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22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7 September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ensures that requests from data subjects to exercise their PDPA rights are verified, handled, and answered correctly within the legal timeframe.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Rights Covered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rights and the related PDPA sections.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4677"/>
        <w:gridCol w:w="4677"/>
      </w:tblGrid>
      <w:tr>
        <w:trPr>
          <w:tblHeader w:val="true"/>
        </w:trPr>
        <w:tc>
          <w:tcPr>
            <w:tcW w:type="dxa" w:w="4677"/>
            <w:shd w:val="clear" w:color="auto" w:fill="1F3864"/>
          </w:tcPr>
          <w:p>
            <w:r/>
            <w:r>
              <w:rPr>
                <w:rFonts w:ascii="Calibri" w:hAnsi="Calibri" w:cs="Calibri" w:eastAsia="Calibri"/>
                <w:b/>
                <w:i w:val="0"/>
                <w:color w:val="FFFFFF"/>
                <w:sz w:val="18"/>
                <w:szCs w:val="18"/>
                <w:bCs/>
              </w:rPr>
              <w:t>Right</w:t>
            </w:r>
          </w:p>
        </w:tc>
        <w:tc>
          <w:tcPr>
            <w:tcW w:type="dxa" w:w="4677"/>
            <w:shd w:val="clear" w:color="auto" w:fill="1F3864"/>
          </w:tcPr>
          <w:p>
            <w:r/>
            <w:r>
              <w:rPr>
                <w:rFonts w:ascii="Calibri" w:hAnsi="Calibri" w:cs="Calibri" w:eastAsia="Calibri"/>
                <w:b/>
                <w:i w:val="0"/>
                <w:color w:val="FFFFFF"/>
                <w:sz w:val="18"/>
                <w:szCs w:val="18"/>
                <w:bCs/>
              </w:rPr>
              <w:t>PDPA section</w:t>
            </w:r>
          </w:p>
        </w:tc>
      </w:tr>
      <w:tr>
        <w:tc>
          <w:tcPr>
            <w:tcW w:type="dxa" w:w="4677"/>
          </w:tcPr>
          <w:p>
            <w:r/>
            <w:r>
              <w:rPr>
                <w:rFonts w:ascii="Calibri" w:hAnsi="Calibri" w:cs="Calibri" w:eastAsia="Calibri"/>
                <w:b w:val="0"/>
                <w:i w:val="0"/>
                <w:sz w:val="18"/>
                <w:szCs w:val="18"/>
              </w:rPr>
              <w:t>Withdraw consent</w:t>
            </w:r>
          </w:p>
        </w:tc>
        <w:tc>
          <w:tcPr>
            <w:tcW w:type="dxa" w:w="4677"/>
          </w:tcPr>
          <w:p>
            <w:r/>
            <w:r>
              <w:rPr>
                <w:rFonts w:ascii="Calibri" w:hAnsi="Calibri" w:cs="Calibri" w:eastAsia="Calibri"/>
                <w:b w:val="0"/>
                <w:i w:val="0"/>
                <w:sz w:val="18"/>
                <w:szCs w:val="18"/>
              </w:rPr>
              <w:t>s.19</w:t>
            </w:r>
          </w:p>
        </w:tc>
      </w:tr>
      <w:tr>
        <w:tc>
          <w:tcPr>
            <w:tcW w:type="dxa" w:w="4677"/>
          </w:tcPr>
          <w:p>
            <w:r/>
            <w:r>
              <w:rPr>
                <w:rFonts w:ascii="Calibri" w:hAnsi="Calibri" w:cs="Calibri" w:eastAsia="Calibri"/>
                <w:b w:val="0"/>
                <w:i w:val="0"/>
                <w:sz w:val="18"/>
                <w:szCs w:val="18"/>
              </w:rPr>
              <w:t>Access and obtain a copy</w:t>
            </w:r>
          </w:p>
        </w:tc>
        <w:tc>
          <w:tcPr>
            <w:tcW w:type="dxa" w:w="4677"/>
          </w:tcPr>
          <w:p>
            <w:r/>
            <w:r>
              <w:rPr>
                <w:rFonts w:ascii="Calibri" w:hAnsi="Calibri" w:cs="Calibri" w:eastAsia="Calibri"/>
                <w:b w:val="0"/>
                <w:i w:val="0"/>
                <w:sz w:val="18"/>
                <w:szCs w:val="18"/>
              </w:rPr>
              <w:t>s.30</w:t>
            </w:r>
          </w:p>
        </w:tc>
      </w:tr>
      <w:tr>
        <w:tc>
          <w:tcPr>
            <w:tcW w:type="dxa" w:w="4677"/>
          </w:tcPr>
          <w:p>
            <w:r/>
            <w:r>
              <w:rPr>
                <w:rFonts w:ascii="Calibri" w:hAnsi="Calibri" w:cs="Calibri" w:eastAsia="Calibri"/>
                <w:b w:val="0"/>
                <w:i w:val="0"/>
                <w:sz w:val="18"/>
                <w:szCs w:val="18"/>
              </w:rPr>
              <w:t>Data portability</w:t>
            </w:r>
          </w:p>
        </w:tc>
        <w:tc>
          <w:tcPr>
            <w:tcW w:type="dxa" w:w="4677"/>
          </w:tcPr>
          <w:p>
            <w:r/>
            <w:r>
              <w:rPr>
                <w:rFonts w:ascii="Calibri" w:hAnsi="Calibri" w:cs="Calibri" w:eastAsia="Calibri"/>
                <w:b w:val="0"/>
                <w:i w:val="0"/>
                <w:sz w:val="18"/>
                <w:szCs w:val="18"/>
              </w:rPr>
              <w:t>s.31</w:t>
            </w:r>
          </w:p>
        </w:tc>
      </w:tr>
      <w:tr>
        <w:tc>
          <w:tcPr>
            <w:tcW w:type="dxa" w:w="4677"/>
          </w:tcPr>
          <w:p>
            <w:r/>
            <w:r>
              <w:rPr>
                <w:rFonts w:ascii="Calibri" w:hAnsi="Calibri" w:cs="Calibri" w:eastAsia="Calibri"/>
                <w:b w:val="0"/>
                <w:i w:val="0"/>
                <w:sz w:val="18"/>
                <w:szCs w:val="18"/>
              </w:rPr>
              <w:t>Object</w:t>
            </w:r>
          </w:p>
        </w:tc>
        <w:tc>
          <w:tcPr>
            <w:tcW w:type="dxa" w:w="4677"/>
          </w:tcPr>
          <w:p>
            <w:r/>
            <w:r>
              <w:rPr>
                <w:rFonts w:ascii="Calibri" w:hAnsi="Calibri" w:cs="Calibri" w:eastAsia="Calibri"/>
                <w:b w:val="0"/>
                <w:i w:val="0"/>
                <w:sz w:val="18"/>
                <w:szCs w:val="18"/>
              </w:rPr>
              <w:t>s.32</w:t>
            </w:r>
          </w:p>
        </w:tc>
      </w:tr>
      <w:tr>
        <w:tc>
          <w:tcPr>
            <w:tcW w:type="dxa" w:w="4677"/>
          </w:tcPr>
          <w:p>
            <w:r/>
            <w:r>
              <w:rPr>
                <w:rFonts w:ascii="Calibri" w:hAnsi="Calibri" w:cs="Calibri" w:eastAsia="Calibri"/>
                <w:b w:val="0"/>
                <w:i w:val="0"/>
                <w:sz w:val="18"/>
                <w:szCs w:val="18"/>
              </w:rPr>
              <w:t>Erasure or anonymization</w:t>
            </w:r>
          </w:p>
        </w:tc>
        <w:tc>
          <w:tcPr>
            <w:tcW w:type="dxa" w:w="4677"/>
          </w:tcPr>
          <w:p>
            <w:r/>
            <w:r>
              <w:rPr>
                <w:rFonts w:ascii="Calibri" w:hAnsi="Calibri" w:cs="Calibri" w:eastAsia="Calibri"/>
                <w:b w:val="0"/>
                <w:i w:val="0"/>
                <w:sz w:val="18"/>
                <w:szCs w:val="18"/>
              </w:rPr>
              <w:t>s.33</w:t>
            </w:r>
          </w:p>
        </w:tc>
      </w:tr>
      <w:tr>
        <w:tc>
          <w:tcPr>
            <w:tcW w:type="dxa" w:w="4677"/>
          </w:tcPr>
          <w:p>
            <w:r/>
            <w:r>
              <w:rPr>
                <w:rFonts w:ascii="Calibri" w:hAnsi="Calibri" w:cs="Calibri" w:eastAsia="Calibri"/>
                <w:b w:val="0"/>
                <w:i w:val="0"/>
                <w:sz w:val="18"/>
                <w:szCs w:val="18"/>
              </w:rPr>
              <w:t>Restriction</w:t>
            </w:r>
          </w:p>
        </w:tc>
        <w:tc>
          <w:tcPr>
            <w:tcW w:type="dxa" w:w="4677"/>
          </w:tcPr>
          <w:p>
            <w:r/>
            <w:r>
              <w:rPr>
                <w:rFonts w:ascii="Calibri" w:hAnsi="Calibri" w:cs="Calibri" w:eastAsia="Calibri"/>
                <w:b w:val="0"/>
                <w:i w:val="0"/>
                <w:sz w:val="18"/>
                <w:szCs w:val="18"/>
              </w:rPr>
              <w:t>s.34</w:t>
            </w:r>
          </w:p>
        </w:tc>
      </w:tr>
      <w:tr>
        <w:tc>
          <w:tcPr>
            <w:tcW w:type="dxa" w:w="4677"/>
          </w:tcPr>
          <w:p>
            <w:r/>
            <w:r>
              <w:rPr>
                <w:rFonts w:ascii="Calibri" w:hAnsi="Calibri" w:cs="Calibri" w:eastAsia="Calibri"/>
                <w:b w:val="0"/>
                <w:i w:val="0"/>
                <w:sz w:val="18"/>
                <w:szCs w:val="18"/>
              </w:rPr>
              <w:t>Rectification</w:t>
            </w:r>
          </w:p>
        </w:tc>
        <w:tc>
          <w:tcPr>
            <w:tcW w:type="dxa" w:w="4677"/>
          </w:tcPr>
          <w:p>
            <w:r/>
            <w:r>
              <w:rPr>
                <w:rFonts w:ascii="Calibri" w:hAnsi="Calibri" w:cs="Calibri" w:eastAsia="Calibri"/>
                <w:b w:val="0"/>
                <w:i w:val="0"/>
                <w:sz w:val="18"/>
                <w:szCs w:val="18"/>
              </w:rPr>
              <w:t>s.35 and s.36</w:t>
            </w:r>
          </w:p>
        </w:tc>
      </w:tr>
    </w:tbl>
    <w:p>
      <w:pPr>
        <w:spacing w:after="40"/>
      </w:pP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from receipt to closure with timeframes.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4706"/>
        <w:gridCol w:w="1984"/>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4706"/>
            <w:shd w:val="clear" w:color="auto" w:fill="1F3864"/>
          </w:tcPr>
          <w:p>
            <w:r/>
            <w:r>
              <w:rPr>
                <w:rFonts w:ascii="Calibri" w:hAnsi="Calibri" w:cs="Calibri" w:eastAsia="Calibri"/>
                <w:b/>
                <w:i w:val="0"/>
                <w:color w:val="FFFFFF"/>
                <w:sz w:val="18"/>
                <w:szCs w:val="18"/>
                <w:bCs/>
              </w:rPr>
              <w:t>Activity</w:t>
            </w:r>
          </w:p>
        </w:tc>
        <w:tc>
          <w:tcPr>
            <w:tcW w:type="dxa" w:w="1984"/>
            <w:shd w:val="clear" w:color="auto" w:fill="1F3864"/>
          </w:tcPr>
          <w:p>
            <w:r/>
            <w:r>
              <w:rPr>
                <w:rFonts w:ascii="Calibri" w:hAnsi="Calibri" w:cs="Calibri" w:eastAsia="Calibri"/>
                <w:b/>
                <w:i w:val="0"/>
                <w:color w:val="FFFFFF"/>
                <w:sz w:val="18"/>
                <w:szCs w:val="18"/>
                <w:bCs/>
              </w:rPr>
              <w:t>Actor</w:t>
            </w:r>
          </w:p>
        </w:tc>
        <w:tc>
          <w:tcPr>
            <w:tcW w:type="dxa" w:w="1984"/>
            <w:shd w:val="clear" w:color="auto" w:fill="1F3864"/>
          </w:tcPr>
          <w:p>
            <w:r/>
            <w:r>
              <w:rPr>
                <w:rFonts w:ascii="Calibri" w:hAnsi="Calibri" w:cs="Calibri" w:eastAsia="Calibri"/>
                <w:b/>
                <w:i w:val="0"/>
                <w:color w:val="FFFFFF"/>
                <w:sz w:val="18"/>
                <w:szCs w:val="18"/>
                <w:bCs/>
              </w:rPr>
              <w:t>Timing</w:t>
            </w:r>
          </w:p>
        </w:tc>
      </w:tr>
      <w:tr>
        <w:tc>
          <w:tcPr>
            <w:tcW w:type="dxa" w:w="680"/>
          </w:tcPr>
          <w:p>
            <w:r/>
            <w:r>
              <w:rPr>
                <w:rFonts w:ascii="Calibri" w:hAnsi="Calibri" w:cs="Calibri" w:eastAsia="Calibri"/>
                <w:b w:val="0"/>
                <w:i w:val="0"/>
                <w:sz w:val="18"/>
                <w:szCs w:val="18"/>
              </w:rPr>
              <w:t>1</w:t>
            </w:r>
          </w:p>
        </w:tc>
        <w:tc>
          <w:tcPr>
            <w:tcW w:type="dxa" w:w="4706"/>
          </w:tcPr>
          <w:p>
            <w:r/>
            <w:r>
              <w:rPr>
                <w:rFonts w:ascii="Calibri" w:hAnsi="Calibri" w:cs="Calibri" w:eastAsia="Calibri"/>
                <w:b w:val="0"/>
                <w:i w:val="0"/>
                <w:sz w:val="18"/>
                <w:szCs w:val="18"/>
              </w:rPr>
              <w:t>Receive the request through any channel and log it with the Data Subject Request Form (GV-FRM-005)</w:t>
            </w:r>
          </w:p>
        </w:tc>
        <w:tc>
          <w:tcPr>
            <w:tcW w:type="dxa" w:w="1984"/>
          </w:tcPr>
          <w:p>
            <w:r/>
            <w:r>
              <w:rPr>
                <w:rFonts w:ascii="Calibri" w:hAnsi="Calibri" w:cs="Calibri" w:eastAsia="Calibri"/>
                <w:b w:val="0"/>
                <w:i w:val="0"/>
                <w:sz w:val="18"/>
                <w:szCs w:val="18"/>
              </w:rPr>
              <w:t>Front-line staff</w:t>
            </w:r>
          </w:p>
        </w:tc>
        <w:tc>
          <w:tcPr>
            <w:tcW w:type="dxa" w:w="1984"/>
          </w:tcPr>
          <w:p>
            <w:r/>
            <w:r>
              <w:rPr>
                <w:rFonts w:ascii="Calibri" w:hAnsi="Calibri" w:cs="Calibri" w:eastAsia="Calibri"/>
                <w:b w:val="0"/>
                <w:i w:val="0"/>
                <w:sz w:val="18"/>
                <w:szCs w:val="18"/>
              </w:rPr>
              <w:t>Day 0</w:t>
            </w:r>
          </w:p>
        </w:tc>
      </w:tr>
      <w:tr>
        <w:tc>
          <w:tcPr>
            <w:tcW w:type="dxa" w:w="680"/>
          </w:tcPr>
          <w:p>
            <w:r/>
            <w:r>
              <w:rPr>
                <w:rFonts w:ascii="Calibri" w:hAnsi="Calibri" w:cs="Calibri" w:eastAsia="Calibri"/>
                <w:b w:val="0"/>
                <w:i w:val="0"/>
                <w:sz w:val="18"/>
                <w:szCs w:val="18"/>
              </w:rPr>
              <w:t>2</w:t>
            </w:r>
          </w:p>
        </w:tc>
        <w:tc>
          <w:tcPr>
            <w:tcW w:type="dxa" w:w="4706"/>
          </w:tcPr>
          <w:p>
            <w:r/>
            <w:r>
              <w:rPr>
                <w:rFonts w:ascii="Calibri" w:hAnsi="Calibri" w:cs="Calibri" w:eastAsia="Calibri"/>
                <w:b w:val="0"/>
                <w:i w:val="0"/>
                <w:sz w:val="18"/>
                <w:szCs w:val="18"/>
              </w:rPr>
              <w:t>Verify identity proportionate to the risk of the request</w:t>
            </w:r>
          </w:p>
        </w:tc>
        <w:tc>
          <w:tcPr>
            <w:tcW w:type="dxa" w:w="1984"/>
          </w:tcPr>
          <w:p>
            <w:r/>
            <w:r>
              <w:rPr>
                <w:rFonts w:ascii="Calibri" w:hAnsi="Calibri" w:cs="Calibri" w:eastAsia="Calibri"/>
                <w:b w:val="0"/>
                <w:i w:val="0"/>
                <w:sz w:val="18"/>
                <w:szCs w:val="18"/>
              </w:rPr>
              <w:t>Data Protection Officer (DPO) team</w:t>
            </w:r>
          </w:p>
        </w:tc>
        <w:tc>
          <w:tcPr>
            <w:tcW w:type="dxa" w:w="1984"/>
          </w:tcPr>
          <w:p>
            <w:r/>
            <w:r>
              <w:rPr>
                <w:rFonts w:ascii="Calibri" w:hAnsi="Calibri" w:cs="Calibri" w:eastAsia="Calibri"/>
                <w:b w:val="0"/>
                <w:i w:val="0"/>
                <w:sz w:val="18"/>
                <w:szCs w:val="18"/>
              </w:rPr>
              <w:t>Within 3 working days</w:t>
            </w:r>
          </w:p>
        </w:tc>
      </w:tr>
      <w:tr>
        <w:tc>
          <w:tcPr>
            <w:tcW w:type="dxa" w:w="680"/>
          </w:tcPr>
          <w:p>
            <w:r/>
            <w:r>
              <w:rPr>
                <w:rFonts w:ascii="Calibri" w:hAnsi="Calibri" w:cs="Calibri" w:eastAsia="Calibri"/>
                <w:b w:val="0"/>
                <w:i w:val="0"/>
                <w:sz w:val="18"/>
                <w:szCs w:val="18"/>
              </w:rPr>
              <w:t>3</w:t>
            </w:r>
          </w:p>
        </w:tc>
        <w:tc>
          <w:tcPr>
            <w:tcW w:type="dxa" w:w="4706"/>
          </w:tcPr>
          <w:p>
            <w:r/>
            <w:r>
              <w:rPr>
                <w:rFonts w:ascii="Calibri" w:hAnsi="Calibri" w:cs="Calibri" w:eastAsia="Calibri"/>
                <w:b w:val="0"/>
                <w:i w:val="0"/>
                <w:sz w:val="18"/>
                <w:szCs w:val="18"/>
              </w:rPr>
              <w:t>Locate the data using the ROPA (GV-REG-007) and ask data owners to act</w:t>
            </w:r>
          </w:p>
        </w:tc>
        <w:tc>
          <w:tcPr>
            <w:tcW w:type="dxa" w:w="1984"/>
          </w:tcPr>
          <w:p>
            <w:r/>
            <w:r>
              <w:rPr>
                <w:rFonts w:ascii="Calibri" w:hAnsi="Calibri" w:cs="Calibri" w:eastAsia="Calibri"/>
                <w:b w:val="0"/>
                <w:i w:val="0"/>
                <w:sz w:val="18"/>
                <w:szCs w:val="18"/>
              </w:rPr>
              <w:t>Data Protection Officer (DPO) team and data owners</w:t>
            </w:r>
          </w:p>
        </w:tc>
        <w:tc>
          <w:tcPr>
            <w:tcW w:type="dxa" w:w="1984"/>
          </w:tcPr>
          <w:p>
            <w:r/>
            <w:r>
              <w:rPr>
                <w:rFonts w:ascii="Calibri" w:hAnsi="Calibri" w:cs="Calibri" w:eastAsia="Calibri"/>
                <w:b w:val="0"/>
                <w:i w:val="0"/>
                <w:sz w:val="18"/>
                <w:szCs w:val="18"/>
              </w:rPr>
              <w:t>Within 10 days</w:t>
            </w:r>
          </w:p>
        </w:tc>
      </w:tr>
      <w:tr>
        <w:tc>
          <w:tcPr>
            <w:tcW w:type="dxa" w:w="680"/>
          </w:tcPr>
          <w:p>
            <w:r/>
            <w:r>
              <w:rPr>
                <w:rFonts w:ascii="Calibri" w:hAnsi="Calibri" w:cs="Calibri" w:eastAsia="Calibri"/>
                <w:b w:val="0"/>
                <w:i w:val="0"/>
                <w:sz w:val="18"/>
                <w:szCs w:val="18"/>
              </w:rPr>
              <w:t>4</w:t>
            </w:r>
          </w:p>
        </w:tc>
        <w:tc>
          <w:tcPr>
            <w:tcW w:type="dxa" w:w="4706"/>
          </w:tcPr>
          <w:p>
            <w:r/>
            <w:r>
              <w:rPr>
                <w:rFonts w:ascii="Calibri" w:hAnsi="Calibri" w:cs="Calibri" w:eastAsia="Calibri"/>
                <w:b w:val="0"/>
                <w:i w:val="0"/>
                <w:sz w:val="18"/>
                <w:szCs w:val="18"/>
              </w:rPr>
              <w:t>Decide to fulfill or refuse; record legal grounds for refusal (PDPA s.39(7))</w:t>
            </w:r>
          </w:p>
        </w:tc>
        <w:tc>
          <w:tcPr>
            <w:tcW w:type="dxa" w:w="1984"/>
          </w:tcPr>
          <w:p>
            <w:r/>
            <w:r>
              <w:rPr>
                <w:rFonts w:ascii="Calibri" w:hAnsi="Calibri" w:cs="Calibri" w:eastAsia="Calibri"/>
                <w:b w:val="0"/>
                <w:i w:val="0"/>
                <w:sz w:val="18"/>
                <w:szCs w:val="18"/>
              </w:rPr>
              <w:t>Data Protection Officer (DPO)</w:t>
            </w:r>
          </w:p>
        </w:tc>
        <w:tc>
          <w:tcPr>
            <w:tcW w:type="dxa" w:w="1984"/>
          </w:tcPr>
          <w:p>
            <w:r/>
            <w:r>
              <w:rPr>
                <w:rFonts w:ascii="Calibri" w:hAnsi="Calibri" w:cs="Calibri" w:eastAsia="Calibri"/>
                <w:b w:val="0"/>
                <w:i w:val="0"/>
                <w:sz w:val="18"/>
                <w:szCs w:val="18"/>
              </w:rPr>
              <w:t>Within 20 days</w:t>
            </w:r>
          </w:p>
        </w:tc>
      </w:tr>
      <w:tr>
        <w:tc>
          <w:tcPr>
            <w:tcW w:type="dxa" w:w="680"/>
          </w:tcPr>
          <w:p>
            <w:r/>
            <w:r>
              <w:rPr>
                <w:rFonts w:ascii="Calibri" w:hAnsi="Calibri" w:cs="Calibri" w:eastAsia="Calibri"/>
                <w:b w:val="0"/>
                <w:i w:val="0"/>
                <w:sz w:val="18"/>
                <w:szCs w:val="18"/>
              </w:rPr>
              <w:t>5</w:t>
            </w:r>
          </w:p>
        </w:tc>
        <w:tc>
          <w:tcPr>
            <w:tcW w:type="dxa" w:w="4706"/>
          </w:tcPr>
          <w:p>
            <w:r/>
            <w:r>
              <w:rPr>
                <w:rFonts w:ascii="Calibri" w:hAnsi="Calibri" w:cs="Calibri" w:eastAsia="Calibri"/>
                <w:b w:val="0"/>
                <w:i w:val="0"/>
                <w:sz w:val="18"/>
                <w:szCs w:val="18"/>
              </w:rPr>
              <w:t>Respond to the data subject in writing</w:t>
            </w:r>
          </w:p>
        </w:tc>
        <w:tc>
          <w:tcPr>
            <w:tcW w:type="dxa" w:w="1984"/>
          </w:tcPr>
          <w:p>
            <w:r/>
            <w:r>
              <w:rPr>
                <w:rFonts w:ascii="Calibri" w:hAnsi="Calibri" w:cs="Calibri" w:eastAsia="Calibri"/>
                <w:b w:val="0"/>
                <w:i w:val="0"/>
                <w:sz w:val="18"/>
                <w:szCs w:val="18"/>
              </w:rPr>
              <w:t>Data Protection Officer (DPO)</w:t>
            </w:r>
          </w:p>
        </w:tc>
        <w:tc>
          <w:tcPr>
            <w:tcW w:type="dxa" w:w="1984"/>
          </w:tcPr>
          <w:p>
            <w:r/>
            <w:r>
              <w:rPr>
                <w:rFonts w:ascii="Calibri" w:hAnsi="Calibri" w:cs="Calibri" w:eastAsia="Calibri"/>
                <w:b w:val="0"/>
                <w:i w:val="0"/>
                <w:sz w:val="18"/>
                <w:szCs w:val="18"/>
              </w:rPr>
              <w:t>No later than 30 days from receipt (PDPA s.30)</w:t>
            </w:r>
          </w:p>
        </w:tc>
      </w:tr>
      <w:tr>
        <w:tc>
          <w:tcPr>
            <w:tcW w:type="dxa" w:w="680"/>
          </w:tcPr>
          <w:p>
            <w:r/>
            <w:r>
              <w:rPr>
                <w:rFonts w:ascii="Calibri" w:hAnsi="Calibri" w:cs="Calibri" w:eastAsia="Calibri"/>
                <w:b w:val="0"/>
                <w:i w:val="0"/>
                <w:sz w:val="18"/>
                <w:szCs w:val="18"/>
              </w:rPr>
              <w:t>6</w:t>
            </w:r>
          </w:p>
        </w:tc>
        <w:tc>
          <w:tcPr>
            <w:tcW w:type="dxa" w:w="4706"/>
          </w:tcPr>
          <w:p>
            <w:r/>
            <w:r>
              <w:rPr>
                <w:rFonts w:ascii="Calibri" w:hAnsi="Calibri" w:cs="Calibri" w:eastAsia="Calibri"/>
                <w:b w:val="0"/>
                <w:i w:val="0"/>
                <w:sz w:val="18"/>
                <w:szCs w:val="18"/>
              </w:rPr>
              <w:t>Close the request and keep the record</w:t>
            </w:r>
          </w:p>
        </w:tc>
        <w:tc>
          <w:tcPr>
            <w:tcW w:type="dxa" w:w="1984"/>
          </w:tcPr>
          <w:p>
            <w:r/>
            <w:r>
              <w:rPr>
                <w:rFonts w:ascii="Calibri" w:hAnsi="Calibri" w:cs="Calibri" w:eastAsia="Calibri"/>
                <w:b w:val="0"/>
                <w:i w:val="0"/>
                <w:sz w:val="18"/>
                <w:szCs w:val="18"/>
              </w:rPr>
              <w:t>Data Protection Officer (DPO) team</w:t>
            </w:r>
          </w:p>
        </w:tc>
        <w:tc>
          <w:tcPr>
            <w:tcW w:type="dxa" w:w="1984"/>
          </w:tcPr>
          <w:p>
            <w:r/>
            <w:r>
              <w:rPr>
                <w:rFonts w:ascii="Calibri" w:hAnsi="Calibri" w:cs="Calibri" w:eastAsia="Calibri"/>
                <w:b w:val="0"/>
                <w:i w:val="0"/>
                <w:sz w:val="18"/>
                <w:szCs w:val="18"/>
              </w:rPr>
              <w:t>On response</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GV-FRM-005: Data Subject Request Form</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Train front-line staff to recognize a rights request even when the data subject does not use legal terms.</w:t>
      </w:r>
    </w:p>
    <w:p>
      <w:pPr>
        <w:pStyle w:val="ListBullet"/>
        <w:spacing w:after="40"/>
      </w:pPr>
      <w:r>
        <w:rPr>
          <w:rFonts w:ascii="Calibri" w:hAnsi="Calibri" w:cs="Calibri" w:eastAsia="Calibri"/>
          <w:b w:val="0"/>
          <w:i w:val="0"/>
          <w:sz w:val="21"/>
          <w:szCs w:val="21"/>
        </w:rPr>
        <w:t>Track requests in a log with due-date alerts and report volumes to management.</w:t>
      </w:r>
    </w:p>
    <w:p>
      <w:pPr>
        <w:pStyle w:val="ListBullet"/>
        <w:spacing w:after="40"/>
      </w:pPr>
      <w:r>
        <w:rPr>
          <w:rFonts w:ascii="Calibri" w:hAnsi="Calibri" w:cs="Calibri" w:eastAsia="Calibri"/>
          <w:b w:val="0"/>
          <w:i w:val="0"/>
          <w:sz w:val="21"/>
          <w:szCs w:val="21"/>
        </w:rPr>
        <w:t>Prepare standard response letters for common request types.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Missing the 30-day deadline because the request sat in a general mailbox.</w:t>
      </w:r>
    </w:p>
    <w:p>
      <w:pPr>
        <w:pStyle w:val="ListBullet"/>
        <w:spacing w:after="40"/>
      </w:pPr>
      <w:r>
        <w:rPr>
          <w:rFonts w:ascii="Calibri" w:hAnsi="Calibri" w:cs="Calibri" w:eastAsia="Calibri"/>
          <w:b w:val="0"/>
          <w:i w:val="0"/>
          <w:sz w:val="21"/>
          <w:szCs w:val="21"/>
        </w:rPr>
        <w:t>Releasing data without verifying identity, which itself causes a breach.</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PT-1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s.30 to s.36 (data subject rights; 30-day response under s.30)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GV-POL-004: Personal Data Protection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GV-FRM-005: Data Subject Request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GV-PRC-005  |  Data Subject Rights Request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