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Policy Exception Register</w:t>
      </w:r>
    </w:p>
    <w:p>
      <w:pPr>
        <w:spacing w:after="80" w:before="0"/>
      </w:pPr>
      <w:r>
        <w:rPr>
          <w:rFonts w:ascii="Calibri" w:hAnsi="Calibri" w:cs="Calibri" w:eastAsia="Calibri"/>
          <w:b w:val="0"/>
          <w:i w:val="0"/>
          <w:color w:val="595959"/>
          <w:sz w:val="18"/>
          <w:szCs w:val="18"/>
        </w:rPr>
        <w:t>GV-REG-004  |  Register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Policy Exception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27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27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20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27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every approved policy exception, its compensating controls, owner, and expiry date, so management can see all accepted deviations in one place.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(GV-PRC-003)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Exception ID</w:t>
            </w:r>
          </w:p>
        </w:tc>
        <w:tc>
          <w:tcPr>
            <w:tcW w:type="dxa" w:w="4535"/>
          </w:tcPr>
          <w:p>
            <w:r/>
            <w:r>
              <w:rPr>
                <w:rFonts w:ascii="Calibri" w:hAnsi="Calibri" w:cs="Calibri" w:eastAsia="Calibri"/>
                <w:b w:val="0"/>
                <w:i w:val="0"/>
                <w:sz w:val="18"/>
                <w:szCs w:val="18"/>
              </w:rPr>
              <w:t>From GV-FRM-004.</w:t>
            </w:r>
          </w:p>
        </w:tc>
        <w:tc>
          <w:tcPr>
            <w:tcW w:type="dxa" w:w="2551"/>
          </w:tcPr>
          <w:p>
            <w:r/>
            <w:r>
              <w:rPr>
                <w:rFonts w:ascii="Calibri" w:hAnsi="Calibri" w:cs="Calibri" w:eastAsia="Calibri"/>
                <w:b w:val="0"/>
                <w:i w:val="0"/>
                <w:sz w:val="18"/>
                <w:szCs w:val="18"/>
              </w:rPr>
              <w:t>EXC-2026-001</w:t>
            </w:r>
          </w:p>
        </w:tc>
      </w:tr>
      <w:tr>
        <w:tc>
          <w:tcPr>
            <w:tcW w:type="dxa" w:w="2268"/>
          </w:tcPr>
          <w:p>
            <w:r/>
            <w:r>
              <w:rPr>
                <w:rFonts w:ascii="Calibri" w:hAnsi="Calibri" w:cs="Calibri" w:eastAsia="Calibri"/>
                <w:b w:val="0"/>
                <w:i w:val="0"/>
                <w:sz w:val="18"/>
                <w:szCs w:val="18"/>
              </w:rPr>
              <w:t>Policy or standard</w:t>
            </w:r>
          </w:p>
        </w:tc>
        <w:tc>
          <w:tcPr>
            <w:tcW w:type="dxa" w:w="4535"/>
          </w:tcPr>
          <w:p>
            <w:r/>
            <w:r>
              <w:rPr>
                <w:rFonts w:ascii="Calibri" w:hAnsi="Calibri" w:cs="Calibri" w:eastAsia="Calibri"/>
                <w:b w:val="0"/>
                <w:i w:val="0"/>
                <w:sz w:val="18"/>
                <w:szCs w:val="18"/>
              </w:rPr>
              <w:t>Document ID and clause.</w:t>
            </w:r>
          </w:p>
        </w:tc>
        <w:tc>
          <w:tcPr>
            <w:tcW w:type="dxa" w:w="2551"/>
          </w:tcPr>
          <w:p>
            <w:r/>
            <w:r>
              <w:rPr>
                <w:rFonts w:ascii="Calibri" w:hAnsi="Calibri" w:cs="Calibri" w:eastAsia="Calibri"/>
                <w:b w:val="0"/>
                <w:i w:val="0"/>
                <w:sz w:val="18"/>
                <w:szCs w:val="18"/>
              </w:rPr>
              <w:t>PR-STD-001 4.2</w:t>
            </w:r>
          </w:p>
        </w:tc>
      </w:tr>
      <w:tr>
        <w:tc>
          <w:tcPr>
            <w:tcW w:type="dxa" w:w="2268"/>
          </w:tcPr>
          <w:p>
            <w:r/>
            <w:r>
              <w:rPr>
                <w:rFonts w:ascii="Calibri" w:hAnsi="Calibri" w:cs="Calibri" w:eastAsia="Calibri"/>
                <w:b w:val="0"/>
                <w:i w:val="0"/>
                <w:sz w:val="18"/>
                <w:szCs w:val="18"/>
              </w:rPr>
              <w:t>Asset or scope</w:t>
            </w:r>
          </w:p>
        </w:tc>
        <w:tc>
          <w:tcPr>
            <w:tcW w:type="dxa" w:w="4535"/>
          </w:tcPr>
          <w:p>
            <w:r/>
            <w:r>
              <w:rPr>
                <w:rFonts w:ascii="Calibri" w:hAnsi="Calibri" w:cs="Calibri" w:eastAsia="Calibri"/>
                <w:b w:val="0"/>
                <w:i w:val="0"/>
                <w:sz w:val="18"/>
                <w:szCs w:val="18"/>
              </w:rPr>
              <w:t>Affected systems.</w:t>
            </w:r>
          </w:p>
        </w:tc>
        <w:tc>
          <w:tcPr>
            <w:tcW w:type="dxa" w:w="2551"/>
          </w:tcPr>
          <w:p>
            <w:r/>
            <w:r>
              <w:rPr>
                <w:rFonts w:ascii="Calibri" w:hAnsi="Calibri" w:cs="Calibri" w:eastAsia="Calibri"/>
                <w:b w:val="0"/>
                <w:i w:val="0"/>
                <w:sz w:val="18"/>
                <w:szCs w:val="18"/>
              </w:rPr>
              <w:t>SRV-APP-014</w:t>
            </w:r>
          </w:p>
        </w:tc>
      </w:tr>
      <w:tr>
        <w:tc>
          <w:tcPr>
            <w:tcW w:type="dxa" w:w="2268"/>
          </w:tcPr>
          <w:p>
            <w:r/>
            <w:r>
              <w:rPr>
                <w:rFonts w:ascii="Calibri" w:hAnsi="Calibri" w:cs="Calibri" w:eastAsia="Calibri"/>
                <w:b w:val="0"/>
                <w:i w:val="0"/>
                <w:sz w:val="18"/>
                <w:szCs w:val="18"/>
              </w:rPr>
              <w:t>Compensating controls</w:t>
            </w:r>
          </w:p>
        </w:tc>
        <w:tc>
          <w:tcPr>
            <w:tcW w:type="dxa" w:w="4535"/>
          </w:tcPr>
          <w:p>
            <w:r/>
            <w:r>
              <w:rPr>
                <w:rFonts w:ascii="Calibri" w:hAnsi="Calibri" w:cs="Calibri" w:eastAsia="Calibri"/>
                <w:b w:val="0"/>
                <w:i w:val="0"/>
                <w:sz w:val="18"/>
                <w:szCs w:val="18"/>
              </w:rPr>
              <w:t>Summary of controls.</w:t>
            </w:r>
          </w:p>
        </w:tc>
        <w:tc>
          <w:tcPr>
            <w:tcW w:type="dxa" w:w="2551"/>
          </w:tcPr>
          <w:p>
            <w:r/>
            <w:r>
              <w:rPr>
                <w:rFonts w:ascii="Calibri" w:hAnsi="Calibri" w:cs="Calibri" w:eastAsia="Calibri"/>
                <w:b w:val="0"/>
                <w:i w:val="0"/>
                <w:sz w:val="18"/>
                <w:szCs w:val="18"/>
              </w:rPr>
              <w:t>Isolated VLAN</w:t>
            </w:r>
          </w:p>
        </w:tc>
      </w:tr>
      <w:tr>
        <w:tc>
          <w:tcPr>
            <w:tcW w:type="dxa" w:w="2268"/>
          </w:tcPr>
          <w:p>
            <w:r/>
            <w:r>
              <w:rPr>
                <w:rFonts w:ascii="Calibri" w:hAnsi="Calibri" w:cs="Calibri" w:eastAsia="Calibri"/>
                <w:b w:val="0"/>
                <w:i w:val="0"/>
                <w:sz w:val="18"/>
                <w:szCs w:val="18"/>
              </w:rPr>
              <w:t>Residual risk</w:t>
            </w:r>
          </w:p>
        </w:tc>
        <w:tc>
          <w:tcPr>
            <w:tcW w:type="dxa" w:w="4535"/>
          </w:tcPr>
          <w:p>
            <w:r/>
            <w:r>
              <w:rPr>
                <w:rFonts w:ascii="Calibri" w:hAnsi="Calibri" w:cs="Calibri" w:eastAsia="Calibri"/>
                <w:b w:val="0"/>
                <w:i w:val="0"/>
                <w:sz w:val="18"/>
                <w:szCs w:val="18"/>
              </w:rPr>
              <w:t>Low, Medium, High, Critical.</w:t>
            </w:r>
          </w:p>
        </w:tc>
        <w:tc>
          <w:tcPr>
            <w:tcW w:type="dxa" w:w="2551"/>
          </w:tcPr>
          <w:p>
            <w:r/>
            <w:r>
              <w:rPr>
                <w:rFonts w:ascii="Calibri" w:hAnsi="Calibri" w:cs="Calibri" w:eastAsia="Calibri"/>
                <w:b w:val="0"/>
                <w:i w:val="0"/>
                <w:sz w:val="18"/>
                <w:szCs w:val="18"/>
              </w:rPr>
              <w:t>Medium</w:t>
            </w:r>
          </w:p>
        </w:tc>
      </w:tr>
      <w:tr>
        <w:tc>
          <w:tcPr>
            <w:tcW w:type="dxa" w:w="2268"/>
          </w:tcPr>
          <w:p>
            <w:r/>
            <w:r>
              <w:rPr>
                <w:rFonts w:ascii="Calibri" w:hAnsi="Calibri" w:cs="Calibri" w:eastAsia="Calibri"/>
                <w:b w:val="0"/>
                <w:i w:val="0"/>
                <w:sz w:val="18"/>
                <w:szCs w:val="18"/>
              </w:rPr>
              <w:t>Risk owner</w:t>
            </w:r>
          </w:p>
        </w:tc>
        <w:tc>
          <w:tcPr>
            <w:tcW w:type="dxa" w:w="4535"/>
          </w:tcPr>
          <w:p>
            <w:r/>
            <w:r>
              <w:rPr>
                <w:rFonts w:ascii="Calibri" w:hAnsi="Calibri" w:cs="Calibri" w:eastAsia="Calibri"/>
                <w:b w:val="0"/>
                <w:i w:val="0"/>
                <w:sz w:val="18"/>
                <w:szCs w:val="18"/>
              </w:rPr>
              <w:t>Accountable business owner.</w:t>
            </w:r>
          </w:p>
        </w:tc>
        <w:tc>
          <w:tcPr>
            <w:tcW w:type="dxa" w:w="2551"/>
          </w:tcPr>
          <w:p>
            <w:r/>
            <w:r>
              <w:rPr>
                <w:rFonts w:ascii="Calibri" w:hAnsi="Calibri" w:cs="Calibri" w:eastAsia="Calibri"/>
                <w:b w:val="0"/>
                <w:i w:val="0"/>
                <w:sz w:val="18"/>
                <w:szCs w:val="18"/>
              </w:rPr>
              <w:t>Head of Finance</w:t>
            </w:r>
          </w:p>
        </w:tc>
      </w:tr>
      <w:tr>
        <w:tc>
          <w:tcPr>
            <w:tcW w:type="dxa" w:w="2268"/>
          </w:tcPr>
          <w:p>
            <w:r/>
            <w:r>
              <w:rPr>
                <w:rFonts w:ascii="Calibri" w:hAnsi="Calibri" w:cs="Calibri" w:eastAsia="Calibri"/>
                <w:b w:val="0"/>
                <w:i w:val="0"/>
                <w:sz w:val="18"/>
                <w:szCs w:val="18"/>
              </w:rPr>
              <w:t>Approved by and date</w:t>
            </w:r>
          </w:p>
        </w:tc>
        <w:tc>
          <w:tcPr>
            <w:tcW w:type="dxa" w:w="4535"/>
          </w:tcPr>
          <w:p>
            <w:r/>
            <w:r>
              <w:rPr>
                <w:rFonts w:ascii="Calibri" w:hAnsi="Calibri" w:cs="Calibri" w:eastAsia="Calibri"/>
                <w:b w:val="0"/>
                <w:i w:val="0"/>
                <w:sz w:val="18"/>
                <w:szCs w:val="18"/>
              </w:rPr>
              <w:t>Per approval matrix.</w:t>
            </w:r>
          </w:p>
        </w:tc>
        <w:tc>
          <w:tcPr>
            <w:tcW w:type="dxa" w:w="2551"/>
          </w:tcPr>
          <w:p>
            <w:r/>
            <w:r>
              <w:rPr>
                <w:rFonts w:ascii="Calibri" w:hAnsi="Calibri" w:cs="Calibri" w:eastAsia="Calibri"/>
                <w:b w:val="0"/>
                <w:i w:val="0"/>
                <w:sz w:val="18"/>
                <w:szCs w:val="18"/>
              </w:rPr>
              <w:t>CIO, 01/07/2026</w:t>
            </w:r>
          </w:p>
        </w:tc>
      </w:tr>
      <w:tr>
        <w:tc>
          <w:tcPr>
            <w:tcW w:type="dxa" w:w="2268"/>
          </w:tcPr>
          <w:p>
            <w:r/>
            <w:r>
              <w:rPr>
                <w:rFonts w:ascii="Calibri" w:hAnsi="Calibri" w:cs="Calibri" w:eastAsia="Calibri"/>
                <w:b w:val="0"/>
                <w:i w:val="0"/>
                <w:sz w:val="18"/>
                <w:szCs w:val="18"/>
              </w:rPr>
              <w:t>Expiry date</w:t>
            </w:r>
          </w:p>
        </w:tc>
        <w:tc>
          <w:tcPr>
            <w:tcW w:type="dxa" w:w="4535"/>
          </w:tcPr>
          <w:p>
            <w:r/>
            <w:r>
              <w:rPr>
                <w:rFonts w:ascii="Calibri" w:hAnsi="Calibri" w:cs="Calibri" w:eastAsia="Calibri"/>
                <w:b w:val="0"/>
                <w:i w:val="0"/>
                <w:sz w:val="18"/>
                <w:szCs w:val="18"/>
              </w:rPr>
              <w:t>Maximum 12 months.</w:t>
            </w:r>
          </w:p>
        </w:tc>
        <w:tc>
          <w:tcPr>
            <w:tcW w:type="dxa" w:w="2551"/>
          </w:tcPr>
          <w:p>
            <w:r/>
            <w:r>
              <w:rPr>
                <w:rFonts w:ascii="Calibri" w:hAnsi="Calibri" w:cs="Calibri" w:eastAsia="Calibri"/>
                <w:b w:val="0"/>
                <w:i w:val="0"/>
                <w:sz w:val="18"/>
                <w:szCs w:val="18"/>
              </w:rPr>
              <w:t>31/12/2026</w:t>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Open, Renewed, Closed, Expired.</w:t>
            </w:r>
          </w:p>
        </w:tc>
        <w:tc>
          <w:tcPr>
            <w:tcW w:type="dxa" w:w="2551"/>
          </w:tcPr>
          <w:p>
            <w:r/>
            <w:r>
              <w:rPr>
                <w:rFonts w:ascii="Calibri" w:hAnsi="Calibri" w:cs="Calibri" w:eastAsia="Calibri"/>
                <w:b w:val="0"/>
                <w:i w:val="0"/>
                <w:sz w:val="18"/>
                <w:szCs w:val="18"/>
              </w:rPr>
              <w:t>Open</w:t>
            </w:r>
          </w:p>
        </w:tc>
      </w:tr>
      <w:tr>
        <w:tc>
          <w:tcPr>
            <w:tcW w:type="dxa" w:w="2268"/>
          </w:tcPr>
          <w:p>
            <w:r/>
            <w:r>
              <w:rPr>
                <w:rFonts w:ascii="Calibri" w:hAnsi="Calibri" w:cs="Calibri" w:eastAsia="Calibri"/>
                <w:b w:val="0"/>
                <w:i w:val="0"/>
                <w:sz w:val="18"/>
                <w:szCs w:val="18"/>
              </w:rPr>
              <w:t>Linked risk ID</w:t>
            </w:r>
          </w:p>
        </w:tc>
        <w:tc>
          <w:tcPr>
            <w:tcW w:type="dxa" w:w="4535"/>
          </w:tcPr>
          <w:p>
            <w:r/>
            <w:r>
              <w:rPr>
                <w:rFonts w:ascii="Calibri" w:hAnsi="Calibri" w:cs="Calibri" w:eastAsia="Calibri"/>
                <w:b w:val="0"/>
                <w:i w:val="0"/>
                <w:sz w:val="18"/>
                <w:szCs w:val="18"/>
              </w:rPr>
              <w:t>Entry in ID-REG-005.</w:t>
            </w:r>
          </w:p>
        </w:tc>
        <w:tc>
          <w:tcPr>
            <w:tcW w:type="dxa" w:w="2551"/>
          </w:tcPr>
          <w:p>
            <w:r/>
            <w:r>
              <w:rPr>
                <w:rFonts w:ascii="Calibri" w:hAnsi="Calibri" w:cs="Calibri" w:eastAsia="Calibri"/>
                <w:b w:val="0"/>
                <w:i w:val="0"/>
                <w:sz w:val="18"/>
                <w:szCs w:val="18"/>
              </w:rPr>
              <w:t>R-014</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513"/>
        <w:gridCol w:w="1513"/>
        <w:gridCol w:w="1513"/>
        <w:gridCol w:w="1513"/>
        <w:gridCol w:w="1513"/>
        <w:gridCol w:w="1513"/>
        <w:gridCol w:w="1513"/>
        <w:gridCol w:w="1513"/>
        <w:gridCol w:w="1513"/>
        <w:gridCol w:w="1513"/>
      </w:tblGrid>
      <w:tr>
        <w:trPr>
          <w:tblHeader w:val="true"/>
        </w:trPr>
        <w:tc>
          <w:tcPr>
            <w:tcW w:type="dxa" w:w="1514"/>
            <w:shd w:val="clear" w:color="auto" w:fill="1F3864"/>
          </w:tcPr>
          <w:p>
            <w:r/>
            <w:r>
              <w:rPr>
                <w:rFonts w:ascii="Calibri" w:hAnsi="Calibri" w:cs="Calibri" w:eastAsia="Calibri"/>
                <w:b/>
                <w:i w:val="0"/>
                <w:color w:val="FFFFFF"/>
                <w:sz w:val="16"/>
                <w:szCs w:val="16"/>
                <w:bCs/>
              </w:rPr>
              <w:t>Exception ID</w:t>
            </w:r>
          </w:p>
        </w:tc>
        <w:tc>
          <w:tcPr>
            <w:tcW w:type="dxa" w:w="1514"/>
            <w:shd w:val="clear" w:color="auto" w:fill="1F3864"/>
          </w:tcPr>
          <w:p>
            <w:r/>
            <w:r>
              <w:rPr>
                <w:rFonts w:ascii="Calibri" w:hAnsi="Calibri" w:cs="Calibri" w:eastAsia="Calibri"/>
                <w:b/>
                <w:i w:val="0"/>
                <w:color w:val="FFFFFF"/>
                <w:sz w:val="16"/>
                <w:szCs w:val="16"/>
                <w:bCs/>
              </w:rPr>
              <w:t>Policy or standard</w:t>
            </w:r>
          </w:p>
        </w:tc>
        <w:tc>
          <w:tcPr>
            <w:tcW w:type="dxa" w:w="1514"/>
            <w:shd w:val="clear" w:color="auto" w:fill="1F3864"/>
          </w:tcPr>
          <w:p>
            <w:r/>
            <w:r>
              <w:rPr>
                <w:rFonts w:ascii="Calibri" w:hAnsi="Calibri" w:cs="Calibri" w:eastAsia="Calibri"/>
                <w:b/>
                <w:i w:val="0"/>
                <w:color w:val="FFFFFF"/>
                <w:sz w:val="16"/>
                <w:szCs w:val="16"/>
                <w:bCs/>
              </w:rPr>
              <w:t>Asset or scope</w:t>
            </w:r>
          </w:p>
        </w:tc>
        <w:tc>
          <w:tcPr>
            <w:tcW w:type="dxa" w:w="1514"/>
            <w:shd w:val="clear" w:color="auto" w:fill="1F3864"/>
          </w:tcPr>
          <w:p>
            <w:r/>
            <w:r>
              <w:rPr>
                <w:rFonts w:ascii="Calibri" w:hAnsi="Calibri" w:cs="Calibri" w:eastAsia="Calibri"/>
                <w:b/>
                <w:i w:val="0"/>
                <w:color w:val="FFFFFF"/>
                <w:sz w:val="16"/>
                <w:szCs w:val="16"/>
                <w:bCs/>
              </w:rPr>
              <w:t>Compensating controls</w:t>
            </w:r>
          </w:p>
        </w:tc>
        <w:tc>
          <w:tcPr>
            <w:tcW w:type="dxa" w:w="1514"/>
            <w:shd w:val="clear" w:color="auto" w:fill="1F3864"/>
          </w:tcPr>
          <w:p>
            <w:r/>
            <w:r>
              <w:rPr>
                <w:rFonts w:ascii="Calibri" w:hAnsi="Calibri" w:cs="Calibri" w:eastAsia="Calibri"/>
                <w:b/>
                <w:i w:val="0"/>
                <w:color w:val="FFFFFF"/>
                <w:sz w:val="16"/>
                <w:szCs w:val="16"/>
                <w:bCs/>
              </w:rPr>
              <w:t>Residual risk</w:t>
            </w:r>
          </w:p>
        </w:tc>
        <w:tc>
          <w:tcPr>
            <w:tcW w:type="dxa" w:w="1514"/>
            <w:shd w:val="clear" w:color="auto" w:fill="1F3864"/>
          </w:tcPr>
          <w:p>
            <w:r/>
            <w:r>
              <w:rPr>
                <w:rFonts w:ascii="Calibri" w:hAnsi="Calibri" w:cs="Calibri" w:eastAsia="Calibri"/>
                <w:b/>
                <w:i w:val="0"/>
                <w:color w:val="FFFFFF"/>
                <w:sz w:val="16"/>
                <w:szCs w:val="16"/>
                <w:bCs/>
              </w:rPr>
              <w:t>Risk owner</w:t>
            </w:r>
          </w:p>
        </w:tc>
        <w:tc>
          <w:tcPr>
            <w:tcW w:type="dxa" w:w="1514"/>
            <w:shd w:val="clear" w:color="auto" w:fill="1F3864"/>
          </w:tcPr>
          <w:p>
            <w:r/>
            <w:r>
              <w:rPr>
                <w:rFonts w:ascii="Calibri" w:hAnsi="Calibri" w:cs="Calibri" w:eastAsia="Calibri"/>
                <w:b/>
                <w:i w:val="0"/>
                <w:color w:val="FFFFFF"/>
                <w:sz w:val="16"/>
                <w:szCs w:val="16"/>
                <w:bCs/>
              </w:rPr>
              <w:t>Approved by and date</w:t>
            </w:r>
          </w:p>
        </w:tc>
        <w:tc>
          <w:tcPr>
            <w:tcW w:type="dxa" w:w="1514"/>
            <w:shd w:val="clear" w:color="auto" w:fill="1F3864"/>
          </w:tcPr>
          <w:p>
            <w:r/>
            <w:r>
              <w:rPr>
                <w:rFonts w:ascii="Calibri" w:hAnsi="Calibri" w:cs="Calibri" w:eastAsia="Calibri"/>
                <w:b/>
                <w:i w:val="0"/>
                <w:color w:val="FFFFFF"/>
                <w:sz w:val="16"/>
                <w:szCs w:val="16"/>
                <w:bCs/>
              </w:rPr>
              <w:t>Expiry date</w:t>
            </w:r>
          </w:p>
        </w:tc>
        <w:tc>
          <w:tcPr>
            <w:tcW w:type="dxa" w:w="1514"/>
            <w:shd w:val="clear" w:color="auto" w:fill="1F3864"/>
          </w:tcPr>
          <w:p>
            <w:r/>
            <w:r>
              <w:rPr>
                <w:rFonts w:ascii="Calibri" w:hAnsi="Calibri" w:cs="Calibri" w:eastAsia="Calibri"/>
                <w:b/>
                <w:i w:val="0"/>
                <w:color w:val="FFFFFF"/>
                <w:sz w:val="16"/>
                <w:szCs w:val="16"/>
                <w:bCs/>
              </w:rPr>
              <w:t>Status</w:t>
            </w:r>
          </w:p>
        </w:tc>
        <w:tc>
          <w:tcPr>
            <w:tcW w:type="dxa" w:w="1514"/>
            <w:shd w:val="clear" w:color="auto" w:fill="1F3864"/>
          </w:tcPr>
          <w:p>
            <w:r/>
            <w:r>
              <w:rPr>
                <w:rFonts w:ascii="Calibri" w:hAnsi="Calibri" w:cs="Calibri" w:eastAsia="Calibri"/>
                <w:b/>
                <w:i w:val="0"/>
                <w:color w:val="FFFFFF"/>
                <w:sz w:val="16"/>
                <w:szCs w:val="16"/>
                <w:bCs/>
              </w:rPr>
              <w:t>Linked risk ID</w:t>
            </w:r>
          </w:p>
        </w:tc>
      </w:tr>
      <w:tr>
        <w:tc>
          <w:tcPr>
            <w:tcW w:type="dxa" w:w="1514"/>
          </w:tcPr>
          <w:p>
            <w:r/>
            <w:r>
              <w:rPr>
                <w:rFonts w:ascii="Calibri" w:hAnsi="Calibri" w:cs="Calibri" w:eastAsia="Calibri"/>
                <w:b w:val="0"/>
                <w:i w:val="0"/>
                <w:sz w:val="16"/>
                <w:szCs w:val="16"/>
              </w:rPr>
              <w:t>EXC-2026-007</w:t>
            </w:r>
          </w:p>
        </w:tc>
        <w:tc>
          <w:tcPr>
            <w:tcW w:type="dxa" w:w="1514"/>
          </w:tcPr>
          <w:p>
            <w:r/>
            <w:r>
              <w:rPr>
                <w:rFonts w:ascii="Calibri" w:hAnsi="Calibri" w:cs="Calibri" w:eastAsia="Calibri"/>
                <w:b w:val="0"/>
                <w:i w:val="0"/>
                <w:sz w:val="16"/>
                <w:szCs w:val="16"/>
              </w:rPr>
              <w:t>PR-STD-012 EDR coverage</w:t>
            </w:r>
          </w:p>
        </w:tc>
        <w:tc>
          <w:tcPr>
            <w:tcW w:type="dxa" w:w="1514"/>
          </w:tcPr>
          <w:p>
            <w:r/>
            <w:r>
              <w:rPr>
                <w:rFonts w:ascii="Calibri" w:hAnsi="Calibri" w:cs="Calibri" w:eastAsia="Calibri"/>
                <w:b w:val="0"/>
                <w:i w:val="0"/>
                <w:sz w:val="16"/>
                <w:szCs w:val="16"/>
              </w:rPr>
              <w:t>CT-02, MRI-01 workstations</w:t>
            </w:r>
          </w:p>
        </w:tc>
        <w:tc>
          <w:tcPr>
            <w:tcW w:type="dxa" w:w="1514"/>
          </w:tcPr>
          <w:p>
            <w:r/>
            <w:r>
              <w:rPr>
                <w:rFonts w:ascii="Calibri" w:hAnsi="Calibri" w:cs="Calibri" w:eastAsia="Calibri"/>
                <w:b w:val="0"/>
                <w:i w:val="0"/>
                <w:sz w:val="16"/>
                <w:szCs w:val="16"/>
              </w:rPr>
              <w:t>Medical device VLAN, USB disabled, network monitoring</w:t>
            </w:r>
          </w:p>
        </w:tc>
        <w:tc>
          <w:tcPr>
            <w:tcW w:type="dxa" w:w="1514"/>
          </w:tcPr>
          <w:p>
            <w:r/>
            <w:r>
              <w:rPr>
                <w:rFonts w:ascii="Calibri" w:hAnsi="Calibri" w:cs="Calibri" w:eastAsia="Calibri"/>
                <w:b w:val="0"/>
                <w:i w:val="0"/>
                <w:sz w:val="16"/>
                <w:szCs w:val="16"/>
              </w:rPr>
              <w:t>Medium</w:t>
            </w:r>
          </w:p>
        </w:tc>
        <w:tc>
          <w:tcPr>
            <w:tcW w:type="dxa" w:w="1514"/>
          </w:tcPr>
          <w:p>
            <w:r/>
            <w:r>
              <w:rPr>
                <w:rFonts w:ascii="Calibri" w:hAnsi="Calibri" w:cs="Calibri" w:eastAsia="Calibri"/>
                <w:b w:val="0"/>
                <w:i w:val="0"/>
                <w:sz w:val="16"/>
                <w:szCs w:val="16"/>
              </w:rPr>
              <w:t>Director of Radiology</w:t>
            </w:r>
          </w:p>
        </w:tc>
        <w:tc>
          <w:tcPr>
            <w:tcW w:type="dxa" w:w="1514"/>
          </w:tcPr>
          <w:p>
            <w:r/>
            <w:r>
              <w:rPr>
                <w:rFonts w:ascii="Calibri" w:hAnsi="Calibri" w:cs="Calibri" w:eastAsia="Calibri"/>
                <w:b w:val="0"/>
                <w:i w:val="0"/>
                <w:sz w:val="16"/>
                <w:szCs w:val="16"/>
              </w:rPr>
              <w:t>CIO, 28/03/2026</w:t>
            </w:r>
          </w:p>
        </w:tc>
        <w:tc>
          <w:tcPr>
            <w:tcW w:type="dxa" w:w="1514"/>
          </w:tcPr>
          <w:p>
            <w:r/>
            <w:r>
              <w:rPr>
                <w:rFonts w:ascii="Calibri" w:hAnsi="Calibri" w:cs="Calibri" w:eastAsia="Calibri"/>
                <w:b w:val="0"/>
                <w:i w:val="0"/>
                <w:sz w:val="16"/>
                <w:szCs w:val="16"/>
              </w:rPr>
              <w:t>31/03/2027</w:t>
            </w:r>
          </w:p>
        </w:tc>
        <w:tc>
          <w:tcPr>
            <w:tcW w:type="dxa" w:w="1514"/>
          </w:tcPr>
          <w:p>
            <w:r/>
            <w:r>
              <w:rPr>
                <w:rFonts w:ascii="Calibri" w:hAnsi="Calibri" w:cs="Calibri" w:eastAsia="Calibri"/>
                <w:b w:val="0"/>
                <w:i w:val="0"/>
                <w:sz w:val="16"/>
                <w:szCs w:val="16"/>
              </w:rPr>
              <w:t>Open</w:t>
            </w:r>
          </w:p>
        </w:tc>
        <w:tc>
          <w:tcPr>
            <w:tcW w:type="dxa" w:w="1514"/>
          </w:tcPr>
          <w:p>
            <w:r/>
            <w:r>
              <w:rPr>
                <w:rFonts w:ascii="Calibri" w:hAnsi="Calibri" w:cs="Calibri" w:eastAsia="Calibri"/>
                <w:b w:val="0"/>
                <w:i w:val="0"/>
                <w:sz w:val="16"/>
                <w:szCs w:val="16"/>
              </w:rPr>
              <w:t>R-007</w:t>
            </w:r>
          </w:p>
        </w:tc>
      </w:tr>
      <w:tr>
        <w:tc>
          <w:tcPr>
            <w:tcW w:type="dxa" w:w="1514"/>
          </w:tcPr>
          <w:p>
            <w:r/>
            <w:r>
              <w:rPr>
                <w:rFonts w:ascii="Calibri" w:hAnsi="Calibri" w:cs="Calibri" w:eastAsia="Calibri"/>
                <w:b w:val="0"/>
                <w:i w:val="0"/>
                <w:sz w:val="16"/>
                <w:szCs w:val="16"/>
              </w:rPr>
              <w:t>EXC-2025-012</w:t>
            </w:r>
          </w:p>
        </w:tc>
        <w:tc>
          <w:tcPr>
            <w:tcW w:type="dxa" w:w="1514"/>
          </w:tcPr>
          <w:p>
            <w:r/>
            <w:r>
              <w:rPr>
                <w:rFonts w:ascii="Calibri" w:hAnsi="Calibri" w:cs="Calibri" w:eastAsia="Calibri"/>
                <w:b w:val="0"/>
                <w:i w:val="0"/>
                <w:sz w:val="16"/>
                <w:szCs w:val="16"/>
              </w:rPr>
              <w:t>PR-STD-001 MFA for all remote access</w:t>
            </w:r>
          </w:p>
        </w:tc>
        <w:tc>
          <w:tcPr>
            <w:tcW w:type="dxa" w:w="1514"/>
          </w:tcPr>
          <w:p>
            <w:r/>
            <w:r>
              <w:rPr>
                <w:rFonts w:ascii="Calibri" w:hAnsi="Calibri" w:cs="Calibri" w:eastAsia="Calibri"/>
                <w:b w:val="0"/>
                <w:i w:val="0"/>
                <w:sz w:val="16"/>
                <w:szCs w:val="16"/>
              </w:rPr>
              <w:t>LIS vendor support account</w:t>
            </w:r>
          </w:p>
        </w:tc>
        <w:tc>
          <w:tcPr>
            <w:tcW w:type="dxa" w:w="1514"/>
          </w:tcPr>
          <w:p>
            <w:r/>
            <w:r>
              <w:rPr>
                <w:rFonts w:ascii="Calibri" w:hAnsi="Calibri" w:cs="Calibri" w:eastAsia="Calibri"/>
                <w:b w:val="0"/>
                <w:i w:val="0"/>
                <w:sz w:val="16"/>
                <w:szCs w:val="16"/>
              </w:rPr>
              <w:t>Vendor access only through jump host with session recording</w:t>
            </w:r>
          </w:p>
        </w:tc>
        <w:tc>
          <w:tcPr>
            <w:tcW w:type="dxa" w:w="1514"/>
          </w:tcPr>
          <w:p>
            <w:r/>
            <w:r>
              <w:rPr>
                <w:rFonts w:ascii="Calibri" w:hAnsi="Calibri" w:cs="Calibri" w:eastAsia="Calibri"/>
                <w:b w:val="0"/>
                <w:i w:val="0"/>
                <w:sz w:val="16"/>
                <w:szCs w:val="16"/>
              </w:rPr>
              <w:t>Medium</w:t>
            </w:r>
          </w:p>
        </w:tc>
        <w:tc>
          <w:tcPr>
            <w:tcW w:type="dxa" w:w="1514"/>
          </w:tcPr>
          <w:p>
            <w:r/>
            <w:r>
              <w:rPr>
                <w:rFonts w:ascii="Calibri" w:hAnsi="Calibri" w:cs="Calibri" w:eastAsia="Calibri"/>
                <w:b w:val="0"/>
                <w:i w:val="0"/>
                <w:sz w:val="16"/>
                <w:szCs w:val="16"/>
              </w:rPr>
              <w:t>Laboratory Director</w:t>
            </w:r>
          </w:p>
        </w:tc>
        <w:tc>
          <w:tcPr>
            <w:tcW w:type="dxa" w:w="1514"/>
          </w:tcPr>
          <w:p>
            <w:r/>
            <w:r>
              <w:rPr>
                <w:rFonts w:ascii="Calibri" w:hAnsi="Calibri" w:cs="Calibri" w:eastAsia="Calibri"/>
                <w:b w:val="0"/>
                <w:i w:val="0"/>
                <w:sz w:val="16"/>
                <w:szCs w:val="16"/>
              </w:rPr>
              <w:t>CIO, 15/11/2025</w:t>
            </w:r>
          </w:p>
        </w:tc>
        <w:tc>
          <w:tcPr>
            <w:tcW w:type="dxa" w:w="1514"/>
          </w:tcPr>
          <w:p>
            <w:r/>
            <w:r>
              <w:rPr>
                <w:rFonts w:ascii="Calibri" w:hAnsi="Calibri" w:cs="Calibri" w:eastAsia="Calibri"/>
                <w:b w:val="0"/>
                <w:i w:val="0"/>
                <w:sz w:val="16"/>
                <w:szCs w:val="16"/>
              </w:rPr>
              <w:t>15/11/2026</w:t>
            </w:r>
          </w:p>
        </w:tc>
        <w:tc>
          <w:tcPr>
            <w:tcW w:type="dxa" w:w="1514"/>
          </w:tcPr>
          <w:p>
            <w:r/>
            <w:r>
              <w:rPr>
                <w:rFonts w:ascii="Calibri" w:hAnsi="Calibri" w:cs="Calibri" w:eastAsia="Calibri"/>
                <w:b w:val="0"/>
                <w:i w:val="0"/>
                <w:sz w:val="16"/>
                <w:szCs w:val="16"/>
              </w:rPr>
              <w:t>Open (renewal review due)</w:t>
            </w:r>
          </w:p>
        </w:tc>
        <w:tc>
          <w:tcPr>
            <w:tcW w:type="dxa" w:w="1514"/>
          </w:tcPr>
          <w:p>
            <w:r/>
            <w:r>
              <w:rPr>
                <w:rFonts w:ascii="Calibri" w:hAnsi="Calibri" w:cs="Calibri" w:eastAsia="Calibri"/>
                <w:b w:val="0"/>
                <w:i w:val="0"/>
                <w:sz w:val="16"/>
                <w:szCs w:val="16"/>
              </w:rPr>
              <w:t>R-011</w:t>
            </w:r>
          </w:p>
        </w:tc>
      </w:tr>
      <w:tr>
        <w:tc>
          <w:tcPr>
            <w:tcW w:type="dxa" w:w="1514"/>
          </w:tcPr>
          <w:p>
            <w:r/>
            <w:r>
              <w:rPr>
                <w:rFonts w:ascii="Calibri" w:hAnsi="Calibri" w:cs="Calibri" w:eastAsia="Calibri"/>
                <w:b w:val="0"/>
                <w:i w:val="0"/>
                <w:sz w:val="16"/>
                <w:szCs w:val="16"/>
              </w:rPr>
              <w:t>EXC-2025-004</w:t>
            </w:r>
          </w:p>
        </w:tc>
        <w:tc>
          <w:tcPr>
            <w:tcW w:type="dxa" w:w="1514"/>
          </w:tcPr>
          <w:p>
            <w:r/>
            <w:r>
              <w:rPr>
                <w:rFonts w:ascii="Calibri" w:hAnsi="Calibri" w:cs="Calibri" w:eastAsia="Calibri"/>
                <w:b w:val="0"/>
                <w:i w:val="0"/>
                <w:sz w:val="16"/>
                <w:szCs w:val="16"/>
              </w:rPr>
              <w:t>PR-PRC-007 patch within 30 days</w:t>
            </w:r>
          </w:p>
        </w:tc>
        <w:tc>
          <w:tcPr>
            <w:tcW w:type="dxa" w:w="1514"/>
          </w:tcPr>
          <w:p>
            <w:r/>
            <w:r>
              <w:rPr>
                <w:rFonts w:ascii="Calibri" w:hAnsi="Calibri" w:cs="Calibri" w:eastAsia="Calibri"/>
                <w:b w:val="0"/>
                <w:i w:val="0"/>
                <w:sz w:val="16"/>
                <w:szCs w:val="16"/>
              </w:rPr>
              <w:t>HIS database server</w:t>
            </w:r>
          </w:p>
        </w:tc>
        <w:tc>
          <w:tcPr>
            <w:tcW w:type="dxa" w:w="1514"/>
          </w:tcPr>
          <w:p>
            <w:r/>
            <w:r>
              <w:rPr>
                <w:rFonts w:ascii="Calibri" w:hAnsi="Calibri" w:cs="Calibri" w:eastAsia="Calibri"/>
                <w:b w:val="0"/>
                <w:i w:val="0"/>
                <w:sz w:val="16"/>
                <w:szCs w:val="16"/>
              </w:rPr>
              <w:t>Virtual patching through the network intrusion prevention system (IPS), weekly vulnerability scan</w:t>
            </w:r>
          </w:p>
        </w:tc>
        <w:tc>
          <w:tcPr>
            <w:tcW w:type="dxa" w:w="1514"/>
          </w:tcPr>
          <w:p>
            <w:r/>
            <w:r>
              <w:rPr>
                <w:rFonts w:ascii="Calibri" w:hAnsi="Calibri" w:cs="Calibri" w:eastAsia="Calibri"/>
                <w:b w:val="0"/>
                <w:i w:val="0"/>
                <w:sz w:val="16"/>
                <w:szCs w:val="16"/>
              </w:rPr>
              <w:t>High</w:t>
            </w:r>
          </w:p>
        </w:tc>
        <w:tc>
          <w:tcPr>
            <w:tcW w:type="dxa" w:w="1514"/>
          </w:tcPr>
          <w:p>
            <w:r/>
            <w:r>
              <w:rPr>
                <w:rFonts w:ascii="Calibri" w:hAnsi="Calibri" w:cs="Calibri" w:eastAsia="Calibri"/>
                <w:b w:val="0"/>
                <w:i w:val="0"/>
                <w:sz w:val="16"/>
                <w:szCs w:val="16"/>
              </w:rPr>
              <w:t>CIO</w:t>
            </w:r>
          </w:p>
        </w:tc>
        <w:tc>
          <w:tcPr>
            <w:tcW w:type="dxa" w:w="1514"/>
          </w:tcPr>
          <w:p>
            <w:r/>
            <w:r>
              <w:rPr>
                <w:rFonts w:ascii="Calibri" w:hAnsi="Calibri" w:cs="Calibri" w:eastAsia="Calibri"/>
                <w:b w:val="0"/>
                <w:i w:val="0"/>
                <w:sz w:val="16"/>
                <w:szCs w:val="16"/>
              </w:rPr>
              <w:t>ISSC, 20/08/2025</w:t>
            </w:r>
          </w:p>
        </w:tc>
        <w:tc>
          <w:tcPr>
            <w:tcW w:type="dxa" w:w="1514"/>
          </w:tcPr>
          <w:p>
            <w:r/>
            <w:r>
              <w:rPr>
                <w:rFonts w:ascii="Calibri" w:hAnsi="Calibri" w:cs="Calibri" w:eastAsia="Calibri"/>
                <w:b w:val="0"/>
                <w:i w:val="0"/>
                <w:sz w:val="16"/>
                <w:szCs w:val="16"/>
              </w:rPr>
              <w:t>20/02/2026</w:t>
            </w:r>
          </w:p>
        </w:tc>
        <w:tc>
          <w:tcPr>
            <w:tcW w:type="dxa" w:w="1514"/>
          </w:tcPr>
          <w:p>
            <w:r/>
            <w:r>
              <w:rPr>
                <w:rFonts w:ascii="Calibri" w:hAnsi="Calibri" w:cs="Calibri" w:eastAsia="Calibri"/>
                <w:b w:val="0"/>
                <w:i w:val="0"/>
                <w:sz w:val="16"/>
                <w:szCs w:val="16"/>
              </w:rPr>
              <w:t>Closed (patched 10/02/2026)</w:t>
            </w:r>
          </w:p>
        </w:tc>
        <w:tc>
          <w:tcPr>
            <w:tcW w:type="dxa" w:w="1514"/>
          </w:tcPr>
          <w:p>
            <w:r/>
            <w:r>
              <w:rPr>
                <w:rFonts w:ascii="Calibri" w:hAnsi="Calibri" w:cs="Calibri" w:eastAsia="Calibri"/>
                <w:b w:val="0"/>
                <w:i w:val="0"/>
                <w:sz w:val="16"/>
                <w:szCs w:val="16"/>
              </w:rPr>
              <w:t>R-003</w:t>
            </w:r>
          </w:p>
        </w:tc>
      </w:tr>
      <w:tr>
        <w:tc>
          <w:tcPr>
            <w:tcW w:type="dxa" w:w="1514"/>
          </w:tcPr>
          <w:p>
            <w:r/>
            <w:r>
              <w:rPr>
                <w:rFonts w:ascii="Calibri" w:hAnsi="Calibri" w:cs="Calibri" w:eastAsia="Calibri"/>
                <w:b w:val="0"/>
                <w:i w:val="0"/>
                <w:sz w:val="16"/>
                <w:szCs w:val="16"/>
              </w:rPr>
              <w:t>EXC-2026-002</w:t>
            </w:r>
          </w:p>
        </w:tc>
        <w:tc>
          <w:tcPr>
            <w:tcW w:type="dxa" w:w="1514"/>
          </w:tcPr>
          <w:p>
            <w:r/>
            <w:r>
              <w:rPr>
                <w:rFonts w:ascii="Calibri" w:hAnsi="Calibri" w:cs="Calibri" w:eastAsia="Calibri"/>
                <w:b w:val="0"/>
                <w:i w:val="0"/>
                <w:sz w:val="16"/>
                <w:szCs w:val="16"/>
              </w:rPr>
              <w:t>PR-STD-010 baseline</w:t>
            </w:r>
          </w:p>
        </w:tc>
        <w:tc>
          <w:tcPr>
            <w:tcW w:type="dxa" w:w="1514"/>
          </w:tcPr>
          <w:p>
            <w:r/>
            <w:r>
              <w:rPr>
                <w:rFonts w:ascii="Calibri" w:hAnsi="Calibri" w:cs="Calibri" w:eastAsia="Calibri"/>
                <w:b w:val="0"/>
                <w:i w:val="0"/>
                <w:sz w:val="16"/>
                <w:szCs w:val="16"/>
              </w:rPr>
              <w:t>Nurse call system server (Windows Server 2012 R2)</w:t>
            </w:r>
          </w:p>
        </w:tc>
        <w:tc>
          <w:tcPr>
            <w:tcW w:type="dxa" w:w="1514"/>
          </w:tcPr>
          <w:p>
            <w:r/>
            <w:r>
              <w:rPr>
                <w:rFonts w:ascii="Calibri" w:hAnsi="Calibri" w:cs="Calibri" w:eastAsia="Calibri"/>
                <w:b w:val="0"/>
                <w:i w:val="0"/>
                <w:sz w:val="16"/>
                <w:szCs w:val="16"/>
              </w:rPr>
              <w:t>Isolated segment, application allowlisting</w:t>
            </w:r>
          </w:p>
        </w:tc>
        <w:tc>
          <w:tcPr>
            <w:tcW w:type="dxa" w:w="1514"/>
          </w:tcPr>
          <w:p>
            <w:r/>
            <w:r>
              <w:rPr>
                <w:rFonts w:ascii="Calibri" w:hAnsi="Calibri" w:cs="Calibri" w:eastAsia="Calibri"/>
                <w:b w:val="0"/>
                <w:i w:val="0"/>
                <w:sz w:val="16"/>
                <w:szCs w:val="16"/>
              </w:rPr>
              <w:t>High</w:t>
            </w:r>
          </w:p>
        </w:tc>
        <w:tc>
          <w:tcPr>
            <w:tcW w:type="dxa" w:w="1514"/>
          </w:tcPr>
          <w:p>
            <w:r/>
            <w:r>
              <w:rPr>
                <w:rFonts w:ascii="Calibri" w:hAnsi="Calibri" w:cs="Calibri" w:eastAsia="Calibri"/>
                <w:b w:val="0"/>
                <w:i w:val="0"/>
                <w:sz w:val="16"/>
                <w:szCs w:val="16"/>
              </w:rPr>
              <w:t>Director of Nursing</w:t>
            </w:r>
          </w:p>
        </w:tc>
        <w:tc>
          <w:tcPr>
            <w:tcW w:type="dxa" w:w="1514"/>
          </w:tcPr>
          <w:p>
            <w:r/>
            <w:r>
              <w:rPr>
                <w:rFonts w:ascii="Calibri" w:hAnsi="Calibri" w:cs="Calibri" w:eastAsia="Calibri"/>
                <w:b w:val="0"/>
                <w:i w:val="0"/>
                <w:sz w:val="16"/>
                <w:szCs w:val="16"/>
              </w:rPr>
              <w:t>CIO, 12/01/2026</w:t>
            </w:r>
          </w:p>
        </w:tc>
        <w:tc>
          <w:tcPr>
            <w:tcW w:type="dxa" w:w="1514"/>
          </w:tcPr>
          <w:p>
            <w:r/>
            <w:r>
              <w:rPr>
                <w:rFonts w:ascii="Calibri" w:hAnsi="Calibri" w:cs="Calibri" w:eastAsia="Calibri"/>
                <w:b w:val="0"/>
                <w:i w:val="0"/>
                <w:sz w:val="16"/>
                <w:szCs w:val="16"/>
              </w:rPr>
              <w:t>12/01/2027</w:t>
            </w:r>
          </w:p>
        </w:tc>
        <w:tc>
          <w:tcPr>
            <w:tcW w:type="dxa" w:w="1514"/>
          </w:tcPr>
          <w:p>
            <w:r/>
            <w:r>
              <w:rPr>
                <w:rFonts w:ascii="Calibri" w:hAnsi="Calibri" w:cs="Calibri" w:eastAsia="Calibri"/>
                <w:b w:val="0"/>
                <w:i w:val="0"/>
                <w:sz w:val="16"/>
                <w:szCs w:val="16"/>
              </w:rPr>
              <w:t>Open</w:t>
            </w:r>
          </w:p>
        </w:tc>
        <w:tc>
          <w:tcPr>
            <w:tcW w:type="dxa" w:w="1514"/>
          </w:tcPr>
          <w:p>
            <w:r/>
            <w:r>
              <w:rPr>
                <w:rFonts w:ascii="Calibri" w:hAnsi="Calibri" w:cs="Calibri" w:eastAsia="Calibri"/>
                <w:b w:val="0"/>
                <w:i w:val="0"/>
                <w:sz w:val="16"/>
                <w:szCs w:val="16"/>
              </w:rPr>
              <w:t>R-016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Review the register monthly and escalate any exception past its expiry date to the approver.</w:t>
      </w:r>
    </w:p>
    <w:p>
      <w:pPr>
        <w:pStyle w:val="ListBullet"/>
        <w:spacing w:after="40"/>
      </w:pPr>
      <w:r>
        <w:rPr>
          <w:rFonts w:ascii="Calibri" w:hAnsi="Calibri" w:cs="Calibri" w:eastAsia="Calibri"/>
          <w:b w:val="0"/>
          <w:i w:val="0"/>
          <w:sz w:val="21"/>
          <w:szCs w:val="21"/>
        </w:rPr>
        <w:t>Show exception count and ageing as a KRI on the security dashboard.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Keeping the register in a personal spreadsheet that only one person can update.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ID.RA-07: Changes and exceptions are managed, assessed for risk impact, recorded, and tracked</w:t>
            </w:r>
          </w:p>
          <w:p>
            <w:r>
              <w:rPr>
                <w:rFonts w:ascii="Calibri" w:hAnsi="Calibri" w:cs="Calibri" w:eastAsia="Calibri"/>
                <w:b w:val="0"/>
                <w:i w:val="0"/>
                <w:sz w:val="18"/>
                <w:szCs w:val="18"/>
              </w:rPr>
              <w:t>GV.OV-02: Risk management strategy is reviewed and adjusted to ensure coverage of requirements and risks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RA-7, PM-4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GV-PRC-003: Policy Exception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GV-REG-004  |  Policy Exception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