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Statement of Applicability (SoA)</w:t>
      </w:r>
    </w:p>
    <w:p>
      <w:pPr>
        <w:spacing w:after="80" w:before="0"/>
      </w:pPr>
      <w:r>
        <w:rPr>
          <w:rFonts w:ascii="Calibri" w:hAnsi="Calibri" w:cs="Calibri" w:eastAsia="Calibri"/>
          <w:b w:val="0"/>
          <w:i w:val="0"/>
          <w:color w:val="595959"/>
          <w:sz w:val="18"/>
          <w:szCs w:val="18"/>
        </w:rPr>
        <w:t>GV-REG-005  |  Register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GV-REG-005</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Statement of Applicability (SoA)</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11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11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6.1.3(d)</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27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11 September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F2F2F2"/>
          </w:tcPr>
          <w:p>
            <w:r>
              <w:rPr>
                <w:rFonts w:ascii="Calibri" w:hAnsi="Calibri" w:cs="Calibri" w:eastAsia="Calibri"/>
                <w:b/>
                <w:i w:val="0"/>
                <w:color w:val="1F3864"/>
                <w:sz w:val="18"/>
                <w:szCs w:val="18"/>
                <w:bCs/>
              </w:rPr>
              <w:t xml:space="preserve">CMC context: </w:t>
            </w:r>
            <w:r>
              <w:rPr>
                <w:rFonts w:ascii="Calibri" w:hAnsi="Calibri" w:cs="Calibri" w:eastAsia="Calibri"/>
                <w:b w:val="0"/>
                <w:i w:val="0"/>
                <w:sz w:val="18"/>
                <w:szCs w:val="18"/>
              </w:rPr>
              <w:t>CMC is preparing for ISO/IEC 27001 certification in 2027 with the scope of HIS and the primary data center. The SoA below is a working draft; the excerpt shows six of the 93 Annex A controls.</w:t>
            </w:r>
          </w:p>
        </w:tc>
      </w:tr>
    </w:tbl>
    <w:p>
      <w:pPr>
        <w:spacing w:after="0"/>
      </w:pP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The Statement of Applicability (SoA) lists every ISO/IEC 27001:2022 Annex A control, states whether it is applied, justifies inclusion or exclusion, and shows implementation status (Clause 6.1.3(d)).</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(GV-PRC-001)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Annex A control</w:t>
            </w:r>
          </w:p>
        </w:tc>
        <w:tc>
          <w:tcPr>
            <w:tcW w:type="dxa" w:w="4535"/>
          </w:tcPr>
          <w:p>
            <w:r/>
            <w:r>
              <w:rPr>
                <w:rFonts w:ascii="Calibri" w:hAnsi="Calibri" w:cs="Calibri" w:eastAsia="Calibri"/>
                <w:b w:val="0"/>
                <w:i w:val="0"/>
                <w:sz w:val="18"/>
                <w:szCs w:val="18"/>
              </w:rPr>
              <w:t>Control number and short title.</w:t>
            </w:r>
          </w:p>
        </w:tc>
        <w:tc>
          <w:tcPr>
            <w:tcW w:type="dxa" w:w="2551"/>
          </w:tcPr>
          <w:p>
            <w:r/>
            <w:r>
              <w:rPr>
                <w:rFonts w:ascii="Calibri" w:hAnsi="Calibri" w:cs="Calibri" w:eastAsia="Calibri"/>
                <w:b w:val="0"/>
                <w:i w:val="0"/>
                <w:sz w:val="18"/>
                <w:szCs w:val="18"/>
              </w:rPr>
              <w:t>A.5.15 Access control</w:t>
            </w:r>
          </w:p>
        </w:tc>
      </w:tr>
      <w:tr>
        <w:tc>
          <w:tcPr>
            <w:tcW w:type="dxa" w:w="2268"/>
          </w:tcPr>
          <w:p>
            <w:r/>
            <w:r>
              <w:rPr>
                <w:rFonts w:ascii="Calibri" w:hAnsi="Calibri" w:cs="Calibri" w:eastAsia="Calibri"/>
                <w:b w:val="0"/>
                <w:i w:val="0"/>
                <w:sz w:val="18"/>
                <w:szCs w:val="18"/>
              </w:rPr>
              <w:t>Applicable (Yes or No)</w:t>
            </w:r>
          </w:p>
        </w:tc>
        <w:tc>
          <w:tcPr>
            <w:tcW w:type="dxa" w:w="4535"/>
          </w:tcPr>
          <w:p>
            <w:r/>
            <w:r>
              <w:rPr>
                <w:rFonts w:ascii="Calibri" w:hAnsi="Calibri" w:cs="Calibri" w:eastAsia="Calibri"/>
                <w:b w:val="0"/>
                <w:i w:val="0"/>
                <w:sz w:val="18"/>
                <w:szCs w:val="18"/>
              </w:rPr>
              <w:t>Whether the control is included.</w:t>
            </w:r>
          </w:p>
        </w:tc>
        <w:tc>
          <w:tcPr>
            <w:tcW w:type="dxa" w:w="2551"/>
          </w:tcPr>
          <w:p>
            <w:r/>
            <w:r>
              <w:rPr>
                <w:rFonts w:ascii="Calibri" w:hAnsi="Calibri" w:cs="Calibri" w:eastAsia="Calibri"/>
                <w:b w:val="0"/>
                <w:i w:val="0"/>
                <w:sz w:val="18"/>
                <w:szCs w:val="18"/>
              </w:rPr>
              <w:t>Yes</w:t>
            </w:r>
          </w:p>
        </w:tc>
      </w:tr>
      <w:tr>
        <w:tc>
          <w:tcPr>
            <w:tcW w:type="dxa" w:w="2268"/>
          </w:tcPr>
          <w:p>
            <w:r/>
            <w:r>
              <w:rPr>
                <w:rFonts w:ascii="Calibri" w:hAnsi="Calibri" w:cs="Calibri" w:eastAsia="Calibri"/>
                <w:b w:val="0"/>
                <w:i w:val="0"/>
                <w:sz w:val="18"/>
                <w:szCs w:val="18"/>
              </w:rPr>
              <w:t>Justification</w:t>
            </w:r>
          </w:p>
        </w:tc>
        <w:tc>
          <w:tcPr>
            <w:tcW w:type="dxa" w:w="4535"/>
          </w:tcPr>
          <w:p>
            <w:r/>
            <w:r>
              <w:rPr>
                <w:rFonts w:ascii="Calibri" w:hAnsi="Calibri" w:cs="Calibri" w:eastAsia="Calibri"/>
                <w:b w:val="0"/>
                <w:i w:val="0"/>
                <w:sz w:val="18"/>
                <w:szCs w:val="18"/>
              </w:rPr>
              <w:t>Risk, legal, or contractual reason for inclusion; reason for exclusion.</w:t>
            </w:r>
          </w:p>
        </w:tc>
        <w:tc>
          <w:tcPr>
            <w:tcW w:type="dxa" w:w="2551"/>
          </w:tcPr>
          <w:p>
            <w:r/>
            <w:r>
              <w:rPr>
                <w:rFonts w:ascii="Calibri" w:hAnsi="Calibri" w:cs="Calibri" w:eastAsia="Calibri"/>
                <w:b w:val="0"/>
                <w:i w:val="0"/>
                <w:sz w:val="18"/>
                <w:szCs w:val="18"/>
              </w:rPr>
              <w:t>Risk R-002; PDPA s.37(1)</w:t>
            </w:r>
          </w:p>
        </w:tc>
      </w:tr>
      <w:tr>
        <w:tc>
          <w:tcPr>
            <w:tcW w:type="dxa" w:w="2268"/>
          </w:tcPr>
          <w:p>
            <w:r/>
            <w:r>
              <w:rPr>
                <w:rFonts w:ascii="Calibri" w:hAnsi="Calibri" w:cs="Calibri" w:eastAsia="Calibri"/>
                <w:b w:val="0"/>
                <w:i w:val="0"/>
                <w:sz w:val="18"/>
                <w:szCs w:val="18"/>
              </w:rPr>
              <w:t>Implementation status</w:t>
            </w:r>
          </w:p>
        </w:tc>
        <w:tc>
          <w:tcPr>
            <w:tcW w:type="dxa" w:w="4535"/>
          </w:tcPr>
          <w:p>
            <w:r/>
            <w:r>
              <w:rPr>
                <w:rFonts w:ascii="Calibri" w:hAnsi="Calibri" w:cs="Calibri" w:eastAsia="Calibri"/>
                <w:b w:val="0"/>
                <w:i w:val="0"/>
                <w:sz w:val="18"/>
                <w:szCs w:val="18"/>
              </w:rPr>
              <w:t>Implemented, Partially implemented, Planned.</w:t>
            </w:r>
          </w:p>
        </w:tc>
        <w:tc>
          <w:tcPr>
            <w:tcW w:type="dxa" w:w="2551"/>
          </w:tcPr>
          <w:p>
            <w:r/>
            <w:r>
              <w:rPr>
                <w:rFonts w:ascii="Calibri" w:hAnsi="Calibri" w:cs="Calibri" w:eastAsia="Calibri"/>
                <w:b w:val="0"/>
                <w:i w:val="0"/>
                <w:sz w:val="18"/>
                <w:szCs w:val="18"/>
              </w:rPr>
              <w:t>Implemented</w:t>
            </w:r>
          </w:p>
        </w:tc>
      </w:tr>
      <w:tr>
        <w:tc>
          <w:tcPr>
            <w:tcW w:type="dxa" w:w="2268"/>
          </w:tcPr>
          <w:p>
            <w:r/>
            <w:r>
              <w:rPr>
                <w:rFonts w:ascii="Calibri" w:hAnsi="Calibri" w:cs="Calibri" w:eastAsia="Calibri"/>
                <w:b w:val="0"/>
                <w:i w:val="0"/>
                <w:sz w:val="18"/>
                <w:szCs w:val="18"/>
              </w:rPr>
              <w:t>Implementing documents</w:t>
            </w:r>
          </w:p>
        </w:tc>
        <w:tc>
          <w:tcPr>
            <w:tcW w:type="dxa" w:w="4535"/>
          </w:tcPr>
          <w:p>
            <w:r/>
            <w:r>
              <w:rPr>
                <w:rFonts w:ascii="Calibri" w:hAnsi="Calibri" w:cs="Calibri" w:eastAsia="Calibri"/>
                <w:b w:val="0"/>
                <w:i w:val="0"/>
                <w:sz w:val="18"/>
                <w:szCs w:val="18"/>
              </w:rPr>
              <w:t>Document IDs that implement the control.</w:t>
            </w:r>
          </w:p>
        </w:tc>
        <w:tc>
          <w:tcPr>
            <w:tcW w:type="dxa" w:w="2551"/>
          </w:tcPr>
          <w:p>
            <w:r/>
            <w:r>
              <w:rPr>
                <w:rFonts w:ascii="Calibri" w:hAnsi="Calibri" w:cs="Calibri" w:eastAsia="Calibri"/>
                <w:b w:val="0"/>
                <w:i w:val="0"/>
                <w:sz w:val="18"/>
                <w:szCs w:val="18"/>
              </w:rPr>
              <w:t>PR-POL-001, PR-PRC-001</w:t>
            </w:r>
          </w:p>
        </w:tc>
      </w:tr>
      <w:tr>
        <w:tc>
          <w:tcPr>
            <w:tcW w:type="dxa" w:w="2268"/>
          </w:tcPr>
          <w:p>
            <w:r/>
            <w:r>
              <w:rPr>
                <w:rFonts w:ascii="Calibri" w:hAnsi="Calibri" w:cs="Calibri" w:eastAsia="Calibri"/>
                <w:b w:val="0"/>
                <w:i w:val="0"/>
                <w:sz w:val="18"/>
                <w:szCs w:val="18"/>
              </w:rPr>
              <w:t>CSF 2.0 mapping</w:t>
            </w:r>
          </w:p>
        </w:tc>
        <w:tc>
          <w:tcPr>
            <w:tcW w:type="dxa" w:w="4535"/>
          </w:tcPr>
          <w:p>
            <w:r/>
            <w:r>
              <w:rPr>
                <w:rFonts w:ascii="Calibri" w:hAnsi="Calibri" w:cs="Calibri" w:eastAsia="Calibri"/>
                <w:b w:val="0"/>
                <w:i w:val="0"/>
                <w:sz w:val="18"/>
                <w:szCs w:val="18"/>
              </w:rPr>
              <w:t>Related subcategories.</w:t>
            </w:r>
          </w:p>
        </w:tc>
        <w:tc>
          <w:tcPr>
            <w:tcW w:type="dxa" w:w="2551"/>
          </w:tcPr>
          <w:p>
            <w:r/>
            <w:r>
              <w:rPr>
                <w:rFonts w:ascii="Calibri" w:hAnsi="Calibri" w:cs="Calibri" w:eastAsia="Calibri"/>
                <w:b w:val="0"/>
                <w:i w:val="0"/>
                <w:sz w:val="18"/>
                <w:szCs w:val="18"/>
              </w:rPr>
              <w:t>PR.AA-05</w:t>
            </w:r>
          </w:p>
        </w:tc>
      </w:tr>
    </w:tbl>
    <w:p>
      <w:pPr>
        <w:spacing w:after="40"/>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Maintain current entries. Each entry must have an owner and a last-updated date.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rPr>
          <w:tblHeader w:val="true"/>
        </w:trPr>
        <w:tc>
          <w:tcPr>
            <w:tcW w:type="dxa" w:w="1559"/>
            <w:shd w:val="clear" w:color="auto" w:fill="1F3864"/>
          </w:tcPr>
          <w:p>
            <w:r/>
            <w:r>
              <w:rPr>
                <w:rFonts w:ascii="Calibri" w:hAnsi="Calibri" w:cs="Calibri" w:eastAsia="Calibri"/>
                <w:b/>
                <w:i w:val="0"/>
                <w:color w:val="FFFFFF"/>
                <w:sz w:val="16"/>
                <w:szCs w:val="16"/>
                <w:bCs/>
              </w:rPr>
              <w:t>Annex A control</w:t>
            </w:r>
          </w:p>
        </w:tc>
        <w:tc>
          <w:tcPr>
            <w:tcW w:type="dxa" w:w="1559"/>
            <w:shd w:val="clear" w:color="auto" w:fill="1F3864"/>
          </w:tcPr>
          <w:p>
            <w:r/>
            <w:r>
              <w:rPr>
                <w:rFonts w:ascii="Calibri" w:hAnsi="Calibri" w:cs="Calibri" w:eastAsia="Calibri"/>
                <w:b/>
                <w:i w:val="0"/>
                <w:color w:val="FFFFFF"/>
                <w:sz w:val="16"/>
                <w:szCs w:val="16"/>
                <w:bCs/>
              </w:rPr>
              <w:t>Applicable (Yes or No)</w:t>
            </w:r>
          </w:p>
        </w:tc>
        <w:tc>
          <w:tcPr>
            <w:tcW w:type="dxa" w:w="1559"/>
            <w:shd w:val="clear" w:color="auto" w:fill="1F3864"/>
          </w:tcPr>
          <w:p>
            <w:r/>
            <w:r>
              <w:rPr>
                <w:rFonts w:ascii="Calibri" w:hAnsi="Calibri" w:cs="Calibri" w:eastAsia="Calibri"/>
                <w:b/>
                <w:i w:val="0"/>
                <w:color w:val="FFFFFF"/>
                <w:sz w:val="16"/>
                <w:szCs w:val="16"/>
                <w:bCs/>
              </w:rPr>
              <w:t>Justification</w:t>
            </w:r>
          </w:p>
        </w:tc>
        <w:tc>
          <w:tcPr>
            <w:tcW w:type="dxa" w:w="1559"/>
            <w:shd w:val="clear" w:color="auto" w:fill="1F3864"/>
          </w:tcPr>
          <w:p>
            <w:r/>
            <w:r>
              <w:rPr>
                <w:rFonts w:ascii="Calibri" w:hAnsi="Calibri" w:cs="Calibri" w:eastAsia="Calibri"/>
                <w:b/>
                <w:i w:val="0"/>
                <w:color w:val="FFFFFF"/>
                <w:sz w:val="16"/>
                <w:szCs w:val="16"/>
                <w:bCs/>
              </w:rPr>
              <w:t>Implementation status</w:t>
            </w:r>
          </w:p>
        </w:tc>
        <w:tc>
          <w:tcPr>
            <w:tcW w:type="dxa" w:w="1559"/>
            <w:shd w:val="clear" w:color="auto" w:fill="1F3864"/>
          </w:tcPr>
          <w:p>
            <w:r/>
            <w:r>
              <w:rPr>
                <w:rFonts w:ascii="Calibri" w:hAnsi="Calibri" w:cs="Calibri" w:eastAsia="Calibri"/>
                <w:b/>
                <w:i w:val="0"/>
                <w:color w:val="FFFFFF"/>
                <w:sz w:val="16"/>
                <w:szCs w:val="16"/>
                <w:bCs/>
              </w:rPr>
              <w:t>Implementing documents</w:t>
            </w:r>
          </w:p>
        </w:tc>
        <w:tc>
          <w:tcPr>
            <w:tcW w:type="dxa" w:w="1559"/>
            <w:shd w:val="clear" w:color="auto" w:fill="1F3864"/>
          </w:tcPr>
          <w:p>
            <w:r/>
            <w:r>
              <w:rPr>
                <w:rFonts w:ascii="Calibri" w:hAnsi="Calibri" w:cs="Calibri" w:eastAsia="Calibri"/>
                <w:b/>
                <w:i w:val="0"/>
                <w:color w:val="FFFFFF"/>
                <w:sz w:val="16"/>
                <w:szCs w:val="16"/>
                <w:bCs/>
              </w:rPr>
              <w:t>CSF 2.0 mapping</w:t>
            </w:r>
          </w:p>
        </w:tc>
      </w:tr>
      <w:tr>
        <w:tc>
          <w:tcPr>
            <w:tcW w:type="dxa" w:w="1559"/>
          </w:tcPr>
          <w:p>
            <w:r/>
            <w:r>
              <w:rPr>
                <w:rFonts w:ascii="Calibri" w:hAnsi="Calibri" w:cs="Calibri" w:eastAsia="Calibri"/>
                <w:b w:val="0"/>
                <w:i w:val="0"/>
                <w:sz w:val="16"/>
                <w:szCs w:val="16"/>
              </w:rPr>
              <w:t>A.5.7 Threat intelligence</w:t>
            </w:r>
          </w:p>
        </w:tc>
        <w:tc>
          <w:tcPr>
            <w:tcW w:type="dxa" w:w="1559"/>
          </w:tcPr>
          <w:p>
            <w:r/>
            <w:r>
              <w:rPr>
                <w:rFonts w:ascii="Calibri" w:hAnsi="Calibri" w:cs="Calibri" w:eastAsia="Calibri"/>
                <w:b w:val="0"/>
                <w:i w:val="0"/>
                <w:sz w:val="16"/>
                <w:szCs w:val="16"/>
              </w:rPr>
              <w:t>Yes</w:t>
            </w:r>
          </w:p>
        </w:tc>
        <w:tc>
          <w:tcPr>
            <w:tcW w:type="dxa" w:w="1559"/>
          </w:tcPr>
          <w:p>
            <w:r/>
            <w:r>
              <w:rPr>
                <w:rFonts w:ascii="Calibri" w:hAnsi="Calibri" w:cs="Calibri" w:eastAsia="Calibri"/>
                <w:b w:val="0"/>
                <w:i w:val="0"/>
                <w:sz w:val="16"/>
                <w:szCs w:val="16"/>
              </w:rPr>
              <w:t>Risk R-001 (ransomware targeting hospitals)</w:t>
            </w:r>
          </w:p>
        </w:tc>
        <w:tc>
          <w:tcPr>
            <w:tcW w:type="dxa" w:w="1559"/>
          </w:tcPr>
          <w:p>
            <w:r/>
            <w:r>
              <w:rPr>
                <w:rFonts w:ascii="Calibri" w:hAnsi="Calibri" w:cs="Calibri" w:eastAsia="Calibri"/>
                <w:b w:val="0"/>
                <w:i w:val="0"/>
                <w:sz w:val="16"/>
                <w:szCs w:val="16"/>
              </w:rPr>
              <w:t>Partially implemented</w:t>
            </w:r>
          </w:p>
        </w:tc>
        <w:tc>
          <w:tcPr>
            <w:tcW w:type="dxa" w:w="1559"/>
          </w:tcPr>
          <w:p>
            <w:r/>
            <w:r>
              <w:rPr>
                <w:rFonts w:ascii="Calibri" w:hAnsi="Calibri" w:cs="Calibri" w:eastAsia="Calibri"/>
                <w:b w:val="0"/>
                <w:i w:val="0"/>
                <w:sz w:val="16"/>
                <w:szCs w:val="16"/>
              </w:rPr>
              <w:t>ID-PRC-004</w:t>
            </w:r>
          </w:p>
        </w:tc>
        <w:tc>
          <w:tcPr>
            <w:tcW w:type="dxa" w:w="1559"/>
          </w:tcPr>
          <w:p>
            <w:r/>
            <w:r>
              <w:rPr>
                <w:rFonts w:ascii="Calibri" w:hAnsi="Calibri" w:cs="Calibri" w:eastAsia="Calibri"/>
                <w:b w:val="0"/>
                <w:i w:val="0"/>
                <w:sz w:val="16"/>
                <w:szCs w:val="16"/>
              </w:rPr>
              <w:t>ID.RA-02</w:t>
            </w:r>
          </w:p>
        </w:tc>
      </w:tr>
      <w:tr>
        <w:tc>
          <w:tcPr>
            <w:tcW w:type="dxa" w:w="1559"/>
          </w:tcPr>
          <w:p>
            <w:r/>
            <w:r>
              <w:rPr>
                <w:rFonts w:ascii="Calibri" w:hAnsi="Calibri" w:cs="Calibri" w:eastAsia="Calibri"/>
                <w:b w:val="0"/>
                <w:i w:val="0"/>
                <w:sz w:val="16"/>
                <w:szCs w:val="16"/>
              </w:rPr>
              <w:t>A.5.23 Information security for use of cloud services</w:t>
            </w:r>
          </w:p>
        </w:tc>
        <w:tc>
          <w:tcPr>
            <w:tcW w:type="dxa" w:w="1559"/>
          </w:tcPr>
          <w:p>
            <w:r/>
            <w:r>
              <w:rPr>
                <w:rFonts w:ascii="Calibri" w:hAnsi="Calibri" w:cs="Calibri" w:eastAsia="Calibri"/>
                <w:b w:val="0"/>
                <w:i w:val="0"/>
                <w:sz w:val="16"/>
                <w:szCs w:val="16"/>
              </w:rPr>
              <w:t>Yes</w:t>
            </w:r>
          </w:p>
        </w:tc>
        <w:tc>
          <w:tcPr>
            <w:tcW w:type="dxa" w:w="1559"/>
          </w:tcPr>
          <w:p>
            <w:r/>
            <w:r>
              <w:rPr>
                <w:rFonts w:ascii="Calibri" w:hAnsi="Calibri" w:cs="Calibri" w:eastAsia="Calibri"/>
                <w:b w:val="0"/>
                <w:i w:val="0"/>
                <w:sz w:val="16"/>
                <w:szCs w:val="16"/>
              </w:rPr>
              <w:t>Microsoft 365 and hosted ERP</w:t>
            </w:r>
          </w:p>
        </w:tc>
        <w:tc>
          <w:tcPr>
            <w:tcW w:type="dxa" w:w="1559"/>
          </w:tcPr>
          <w:p>
            <w:r/>
            <w:r>
              <w:rPr>
                <w:rFonts w:ascii="Calibri" w:hAnsi="Calibri" w:cs="Calibri" w:eastAsia="Calibri"/>
                <w:b w:val="0"/>
                <w:i w:val="0"/>
                <w:sz w:val="16"/>
                <w:szCs w:val="16"/>
              </w:rPr>
              <w:t>Implemented</w:t>
            </w:r>
          </w:p>
        </w:tc>
        <w:tc>
          <w:tcPr>
            <w:tcW w:type="dxa" w:w="1559"/>
          </w:tcPr>
          <w:p>
            <w:r/>
            <w:r>
              <w:rPr>
                <w:rFonts w:ascii="Calibri" w:hAnsi="Calibri" w:cs="Calibri" w:eastAsia="Calibri"/>
                <w:b w:val="0"/>
                <w:i w:val="0"/>
                <w:sz w:val="16"/>
                <w:szCs w:val="16"/>
              </w:rPr>
              <w:t>PR-STD-014</w:t>
            </w:r>
          </w:p>
        </w:tc>
        <w:tc>
          <w:tcPr>
            <w:tcW w:type="dxa" w:w="1559"/>
          </w:tcPr>
          <w:p>
            <w:r/>
            <w:r>
              <w:rPr>
                <w:rFonts w:ascii="Calibri" w:hAnsi="Calibri" w:cs="Calibri" w:eastAsia="Calibri"/>
                <w:b w:val="0"/>
                <w:i w:val="0"/>
                <w:sz w:val="16"/>
                <w:szCs w:val="16"/>
              </w:rPr>
              <w:t>GV.SC-05, PR.PS-01</w:t>
            </w:r>
          </w:p>
        </w:tc>
      </w:tr>
      <w:tr>
        <w:tc>
          <w:tcPr>
            <w:tcW w:type="dxa" w:w="1559"/>
          </w:tcPr>
          <w:p>
            <w:r/>
            <w:r>
              <w:rPr>
                <w:rFonts w:ascii="Calibri" w:hAnsi="Calibri" w:cs="Calibri" w:eastAsia="Calibri"/>
                <w:b w:val="0"/>
                <w:i w:val="0"/>
                <w:sz w:val="16"/>
                <w:szCs w:val="16"/>
              </w:rPr>
              <w:t>A.7.4 Physical security monitoring</w:t>
            </w:r>
          </w:p>
        </w:tc>
        <w:tc>
          <w:tcPr>
            <w:tcW w:type="dxa" w:w="1559"/>
          </w:tcPr>
          <w:p>
            <w:r/>
            <w:r>
              <w:rPr>
                <w:rFonts w:ascii="Calibri" w:hAnsi="Calibri" w:cs="Calibri" w:eastAsia="Calibri"/>
                <w:b w:val="0"/>
                <w:i w:val="0"/>
                <w:sz w:val="16"/>
                <w:szCs w:val="16"/>
              </w:rPr>
              <w:t>Yes</w:t>
            </w:r>
          </w:p>
        </w:tc>
        <w:tc>
          <w:tcPr>
            <w:tcW w:type="dxa" w:w="1559"/>
          </w:tcPr>
          <w:p>
            <w:r/>
            <w:r>
              <w:rPr>
                <w:rFonts w:ascii="Calibri" w:hAnsi="Calibri" w:cs="Calibri" w:eastAsia="Calibri"/>
                <w:b w:val="0"/>
                <w:i w:val="0"/>
                <w:sz w:val="16"/>
                <w:szCs w:val="16"/>
              </w:rPr>
              <w:t>Data center and server rooms at both hospitals</w:t>
            </w:r>
          </w:p>
        </w:tc>
        <w:tc>
          <w:tcPr>
            <w:tcW w:type="dxa" w:w="1559"/>
          </w:tcPr>
          <w:p>
            <w:r/>
            <w:r>
              <w:rPr>
                <w:rFonts w:ascii="Calibri" w:hAnsi="Calibri" w:cs="Calibri" w:eastAsia="Calibri"/>
                <w:b w:val="0"/>
                <w:i w:val="0"/>
                <w:sz w:val="16"/>
                <w:szCs w:val="16"/>
              </w:rPr>
              <w:t>Implemented</w:t>
            </w:r>
          </w:p>
        </w:tc>
        <w:tc>
          <w:tcPr>
            <w:tcW w:type="dxa" w:w="1559"/>
          </w:tcPr>
          <w:p>
            <w:r/>
            <w:r>
              <w:rPr>
                <w:rFonts w:ascii="Calibri" w:hAnsi="Calibri" w:cs="Calibri" w:eastAsia="Calibri"/>
                <w:b w:val="0"/>
                <w:i w:val="0"/>
                <w:sz w:val="16"/>
                <w:szCs w:val="16"/>
              </w:rPr>
              <w:t>PR-POL-002, PR-PRC-003</w:t>
            </w:r>
          </w:p>
        </w:tc>
        <w:tc>
          <w:tcPr>
            <w:tcW w:type="dxa" w:w="1559"/>
          </w:tcPr>
          <w:p>
            <w:r/>
            <w:r>
              <w:rPr>
                <w:rFonts w:ascii="Calibri" w:hAnsi="Calibri" w:cs="Calibri" w:eastAsia="Calibri"/>
                <w:b w:val="0"/>
                <w:i w:val="0"/>
                <w:sz w:val="16"/>
                <w:szCs w:val="16"/>
              </w:rPr>
              <w:t>PR.AA-06, DE.CM-02</w:t>
            </w:r>
          </w:p>
        </w:tc>
      </w:tr>
      <w:tr>
        <w:tc>
          <w:tcPr>
            <w:tcW w:type="dxa" w:w="1559"/>
          </w:tcPr>
          <w:p>
            <w:r/>
            <w:r>
              <w:rPr>
                <w:rFonts w:ascii="Calibri" w:hAnsi="Calibri" w:cs="Calibri" w:eastAsia="Calibri"/>
                <w:b w:val="0"/>
                <w:i w:val="0"/>
                <w:sz w:val="16"/>
                <w:szCs w:val="16"/>
              </w:rPr>
              <w:t>A.8.25 Secure development life cycle</w:t>
            </w:r>
          </w:p>
        </w:tc>
        <w:tc>
          <w:tcPr>
            <w:tcW w:type="dxa" w:w="1559"/>
          </w:tcPr>
          <w:p>
            <w:r/>
            <w:r>
              <w:rPr>
                <w:rFonts w:ascii="Calibri" w:hAnsi="Calibri" w:cs="Calibri" w:eastAsia="Calibri"/>
                <w:b w:val="0"/>
                <w:i w:val="0"/>
                <w:sz w:val="16"/>
                <w:szCs w:val="16"/>
              </w:rPr>
              <w:t>Yes</w:t>
            </w:r>
          </w:p>
        </w:tc>
        <w:tc>
          <w:tcPr>
            <w:tcW w:type="dxa" w:w="1559"/>
          </w:tcPr>
          <w:p>
            <w:r/>
            <w:r>
              <w:rPr>
                <w:rFonts w:ascii="Calibri" w:hAnsi="Calibri" w:cs="Calibri" w:eastAsia="Calibri"/>
                <w:b w:val="0"/>
                <w:i w:val="0"/>
                <w:sz w:val="16"/>
                <w:szCs w:val="16"/>
              </w:rPr>
              <w:t>In-house patient portal development</w:t>
            </w:r>
          </w:p>
        </w:tc>
        <w:tc>
          <w:tcPr>
            <w:tcW w:type="dxa" w:w="1559"/>
          </w:tcPr>
          <w:p>
            <w:r/>
            <w:r>
              <w:rPr>
                <w:rFonts w:ascii="Calibri" w:hAnsi="Calibri" w:cs="Calibri" w:eastAsia="Calibri"/>
                <w:b w:val="0"/>
                <w:i w:val="0"/>
                <w:sz w:val="16"/>
                <w:szCs w:val="16"/>
              </w:rPr>
              <w:t>Partially implemented</w:t>
            </w:r>
          </w:p>
        </w:tc>
        <w:tc>
          <w:tcPr>
            <w:tcW w:type="dxa" w:w="1559"/>
          </w:tcPr>
          <w:p>
            <w:r/>
            <w:r>
              <w:rPr>
                <w:rFonts w:ascii="Calibri" w:hAnsi="Calibri" w:cs="Calibri" w:eastAsia="Calibri"/>
                <w:b w:val="0"/>
                <w:i w:val="0"/>
                <w:sz w:val="16"/>
                <w:szCs w:val="16"/>
              </w:rPr>
              <w:t>PR-STD-013</w:t>
            </w:r>
          </w:p>
        </w:tc>
        <w:tc>
          <w:tcPr>
            <w:tcW w:type="dxa" w:w="1559"/>
          </w:tcPr>
          <w:p>
            <w:r/>
            <w:r>
              <w:rPr>
                <w:rFonts w:ascii="Calibri" w:hAnsi="Calibri" w:cs="Calibri" w:eastAsia="Calibri"/>
                <w:b w:val="0"/>
                <w:i w:val="0"/>
                <w:sz w:val="16"/>
                <w:szCs w:val="16"/>
              </w:rPr>
              <w:t>PR.PS-06</w:t>
            </w:r>
          </w:p>
        </w:tc>
      </w:tr>
      <w:tr>
        <w:tc>
          <w:tcPr>
            <w:tcW w:type="dxa" w:w="1559"/>
          </w:tcPr>
          <w:p>
            <w:r/>
            <w:r>
              <w:rPr>
                <w:rFonts w:ascii="Calibri" w:hAnsi="Calibri" w:cs="Calibri" w:eastAsia="Calibri"/>
                <w:b w:val="0"/>
                <w:i w:val="0"/>
                <w:sz w:val="16"/>
                <w:szCs w:val="16"/>
              </w:rPr>
              <w:t>A.8.30 Outsourced development</w:t>
            </w:r>
          </w:p>
        </w:tc>
        <w:tc>
          <w:tcPr>
            <w:tcW w:type="dxa" w:w="1559"/>
          </w:tcPr>
          <w:p>
            <w:r/>
            <w:r>
              <w:rPr>
                <w:rFonts w:ascii="Calibri" w:hAnsi="Calibri" w:cs="Calibri" w:eastAsia="Calibri"/>
                <w:b w:val="0"/>
                <w:i w:val="0"/>
                <w:sz w:val="16"/>
                <w:szCs w:val="16"/>
              </w:rPr>
              <w:t>Yes</w:t>
            </w:r>
          </w:p>
        </w:tc>
        <w:tc>
          <w:tcPr>
            <w:tcW w:type="dxa" w:w="1559"/>
          </w:tcPr>
          <w:p>
            <w:r/>
            <w:r>
              <w:rPr>
                <w:rFonts w:ascii="Calibri" w:hAnsi="Calibri" w:cs="Calibri" w:eastAsia="Calibri"/>
                <w:b w:val="0"/>
                <w:i w:val="0"/>
                <w:sz w:val="16"/>
                <w:szCs w:val="16"/>
              </w:rPr>
              <w:t>HIS customization by Vendor A</w:t>
            </w:r>
          </w:p>
        </w:tc>
        <w:tc>
          <w:tcPr>
            <w:tcW w:type="dxa" w:w="1559"/>
          </w:tcPr>
          <w:p>
            <w:r/>
            <w:r>
              <w:rPr>
                <w:rFonts w:ascii="Calibri" w:hAnsi="Calibri" w:cs="Calibri" w:eastAsia="Calibri"/>
                <w:b w:val="0"/>
                <w:i w:val="0"/>
                <w:sz w:val="16"/>
                <w:szCs w:val="16"/>
              </w:rPr>
              <w:t>Planned</w:t>
            </w:r>
          </w:p>
        </w:tc>
        <w:tc>
          <w:tcPr>
            <w:tcW w:type="dxa" w:w="1559"/>
          </w:tcPr>
          <w:p>
            <w:r/>
            <w:r>
              <w:rPr>
                <w:rFonts w:ascii="Calibri" w:hAnsi="Calibri" w:cs="Calibri" w:eastAsia="Calibri"/>
                <w:b w:val="0"/>
                <w:i w:val="0"/>
                <w:sz w:val="16"/>
                <w:szCs w:val="16"/>
              </w:rPr>
              <w:t>PR-STD-013, GV-STD-002</w:t>
            </w:r>
          </w:p>
        </w:tc>
        <w:tc>
          <w:tcPr>
            <w:tcW w:type="dxa" w:w="1559"/>
          </w:tcPr>
          <w:p>
            <w:r/>
            <w:r>
              <w:rPr>
                <w:rFonts w:ascii="Calibri" w:hAnsi="Calibri" w:cs="Calibri" w:eastAsia="Calibri"/>
                <w:b w:val="0"/>
                <w:i w:val="0"/>
                <w:sz w:val="16"/>
                <w:szCs w:val="16"/>
              </w:rPr>
              <w:t>PR.PS-06, GV.SC-05</w:t>
            </w:r>
          </w:p>
        </w:tc>
      </w:tr>
      <w:tr>
        <w:tc>
          <w:tcPr>
            <w:tcW w:type="dxa" w:w="1559"/>
          </w:tcPr>
          <w:p>
            <w:r/>
            <w:r>
              <w:rPr>
                <w:rFonts w:ascii="Calibri" w:hAnsi="Calibri" w:cs="Calibri" w:eastAsia="Calibri"/>
                <w:b w:val="0"/>
                <w:i w:val="0"/>
                <w:sz w:val="16"/>
                <w:szCs w:val="16"/>
              </w:rPr>
              <w:t>A.7.6 Working in secure areas</w:t>
            </w:r>
          </w:p>
        </w:tc>
        <w:tc>
          <w:tcPr>
            <w:tcW w:type="dxa" w:w="1559"/>
          </w:tcPr>
          <w:p>
            <w:r/>
            <w:r>
              <w:rPr>
                <w:rFonts w:ascii="Calibri" w:hAnsi="Calibri" w:cs="Calibri" w:eastAsia="Calibri"/>
                <w:b w:val="0"/>
                <w:i w:val="0"/>
                <w:sz w:val="16"/>
                <w:szCs w:val="16"/>
              </w:rPr>
              <w:t>Yes</w:t>
            </w:r>
          </w:p>
        </w:tc>
        <w:tc>
          <w:tcPr>
            <w:tcW w:type="dxa" w:w="1559"/>
          </w:tcPr>
          <w:p>
            <w:r/>
            <w:r>
              <w:rPr>
                <w:rFonts w:ascii="Calibri" w:hAnsi="Calibri" w:cs="Calibri" w:eastAsia="Calibri"/>
                <w:b w:val="0"/>
                <w:i w:val="0"/>
                <w:sz w:val="16"/>
                <w:szCs w:val="16"/>
              </w:rPr>
              <w:t>Data center</w:t>
            </w:r>
          </w:p>
        </w:tc>
        <w:tc>
          <w:tcPr>
            <w:tcW w:type="dxa" w:w="1559"/>
          </w:tcPr>
          <w:p>
            <w:r/>
            <w:r>
              <w:rPr>
                <w:rFonts w:ascii="Calibri" w:hAnsi="Calibri" w:cs="Calibri" w:eastAsia="Calibri"/>
                <w:b w:val="0"/>
                <w:i w:val="0"/>
                <w:sz w:val="16"/>
                <w:szCs w:val="16"/>
              </w:rPr>
              <w:t>Implemented</w:t>
            </w:r>
          </w:p>
        </w:tc>
        <w:tc>
          <w:tcPr>
            <w:tcW w:type="dxa" w:w="1559"/>
          </w:tcPr>
          <w:p>
            <w:r/>
            <w:r>
              <w:rPr>
                <w:rFonts w:ascii="Calibri" w:hAnsi="Calibri" w:cs="Calibri" w:eastAsia="Calibri"/>
                <w:b w:val="0"/>
                <w:i w:val="0"/>
                <w:sz w:val="16"/>
                <w:szCs w:val="16"/>
              </w:rPr>
              <w:t>PR-PRC-003</w:t>
            </w:r>
          </w:p>
        </w:tc>
        <w:tc>
          <w:tcPr>
            <w:tcW w:type="dxa" w:w="1559"/>
          </w:tcPr>
          <w:p>
            <w:r/>
            <w:r>
              <w:rPr>
                <w:rFonts w:ascii="Calibri" w:hAnsi="Calibri" w:cs="Calibri" w:eastAsia="Calibri"/>
                <w:b w:val="0"/>
                <w:i w:val="0"/>
                <w:sz w:val="16"/>
                <w:szCs w:val="16"/>
              </w:rPr>
              <w:t>PR.AA-06</w:t>
            </w:r>
          </w:p>
        </w:tc>
      </w:tr>
    </w:tbl>
    <w:p>
      <w:pPr>
        <w:spacing w:after="40"/>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Derive every applicability decision from the risk treatment plan; auditors check that the SoA and the risk register agree.</w:t>
      </w:r>
    </w:p>
    <w:p>
      <w:pPr>
        <w:pStyle w:val="ListBullet"/>
        <w:spacing w:after="40"/>
      </w:pPr>
      <w:r>
        <w:rPr>
          <w:rFonts w:ascii="Calibri" w:hAnsi="Calibri" w:cs="Calibri" w:eastAsia="Calibri"/>
          <w:b w:val="0"/>
          <w:i w:val="0"/>
          <w:sz w:val="21"/>
          <w:szCs w:val="21"/>
        </w:rPr>
        <w:t>Include CSF 2.0 mapping so one SoA serves both ISO/IEC 27001 and CSF reporting.</w:t>
      </w:r>
    </w:p>
    <w:p>
      <w:pPr>
        <w:pStyle w:val="ListBullet"/>
        <w:spacing w:after="40"/>
      </w:pPr>
      <w:r>
        <w:rPr>
          <w:rFonts w:ascii="Calibri" w:hAnsi="Calibri" w:cs="Calibri" w:eastAsia="Calibri"/>
          <w:b w:val="0"/>
          <w:i w:val="0"/>
          <w:sz w:val="21"/>
          <w:szCs w:val="21"/>
        </w:rPr>
        <w:t>Do not exclude a control only because it is hard; exclusions need a defensible reason.</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Marking all 93 controls as applicable and implemented without evidence.</w:t>
      </w:r>
    </w:p>
    <w:p>
      <w:pPr>
        <w:pStyle w:val="ListBullet"/>
        <w:spacing w:after="40"/>
      </w:pPr>
      <w:r>
        <w:rPr>
          <w:rFonts w:ascii="Calibri" w:hAnsi="Calibri" w:cs="Calibri" w:eastAsia="Calibri"/>
          <w:b w:val="0"/>
          <w:i w:val="0"/>
          <w:sz w:val="21"/>
          <w:szCs w:val="21"/>
        </w:rPr>
        <w:t>Copying another organization's SoA; justifications must reflect your own risks.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GV.PO-01: Cybersecurity policy is established, communicated, and enforced based on context, strategy, and priorities</w:t>
            </w:r>
          </w:p>
          <w:p>
            <w:r>
              <w:rPr>
                <w:rFonts w:ascii="Calibri" w:hAnsi="Calibri" w:cs="Calibri" w:eastAsia="Calibri"/>
                <w:b w:val="0"/>
                <w:i w:val="0"/>
                <w:sz w:val="18"/>
                <w:szCs w:val="18"/>
              </w:rPr>
              <w:t>GV.RM-06: A standardized method for calculating, documenting, categorizing, and prioritizing risks is established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6.1.3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PL-2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6.1.3(d)</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GV-PRC-001: Risk Assessment and Treatment Methodology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GV-REG-005  |  Statement of Applicability (SoA)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