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CII Code of Practice Compliance Matrix</w:t>
      </w:r>
    </w:p>
    <w:p>
      <w:pPr>
        <w:spacing w:after="80" w:before="0"/>
      </w:pPr>
      <w:r>
        <w:rPr>
          <w:rFonts w:ascii="Calibri" w:hAnsi="Calibri" w:cs="Calibri" w:eastAsia="Calibri"/>
          <w:b w:val="0"/>
          <w:i w:val="0"/>
          <w:color w:val="595959"/>
          <w:sz w:val="18"/>
          <w:szCs w:val="18"/>
        </w:rPr>
        <w:t>GV-REG-006  |  Register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CII Code of Practice Compliance Matrix</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22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22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s.44; NCSC Notification on Code of Practice and Standard Framework B.E. 2564; CRC Notification on CII duties 2024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7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22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matrix shows how the organization meets each duty that the Cybersecurity Act B.E. 2562 and its notifications place on Critical Information Infrastructure (CII) organizations, with evidence and status.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(GV-REG-001)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Requirement ID</w:t>
            </w:r>
          </w:p>
        </w:tc>
        <w:tc>
          <w:tcPr>
            <w:tcW w:type="dxa" w:w="4535"/>
          </w:tcPr>
          <w:p>
            <w:r/>
            <w:r>
              <w:rPr>
                <w:rFonts w:ascii="Calibri" w:hAnsi="Calibri" w:cs="Calibri" w:eastAsia="Calibri"/>
                <w:b w:val="0"/>
                <w:i w:val="0"/>
                <w:sz w:val="18"/>
                <w:szCs w:val="18"/>
              </w:rPr>
              <w:t>Internal reference.</w:t>
            </w:r>
          </w:p>
        </w:tc>
        <w:tc>
          <w:tcPr>
            <w:tcW w:type="dxa" w:w="2551"/>
          </w:tcPr>
          <w:p>
            <w:r/>
            <w:r>
              <w:rPr>
                <w:rFonts w:ascii="Calibri" w:hAnsi="Calibri" w:cs="Calibri" w:eastAsia="Calibri"/>
                <w:b w:val="0"/>
                <w:i w:val="0"/>
                <w:sz w:val="18"/>
                <w:szCs w:val="18"/>
              </w:rPr>
              <w:t>CII-01</w:t>
            </w:r>
          </w:p>
        </w:tc>
      </w:tr>
      <w:tr>
        <w:tc>
          <w:tcPr>
            <w:tcW w:type="dxa" w:w="2268"/>
          </w:tcPr>
          <w:p>
            <w:r/>
            <w:r>
              <w:rPr>
                <w:rFonts w:ascii="Calibri" w:hAnsi="Calibri" w:cs="Calibri" w:eastAsia="Calibri"/>
                <w:b w:val="0"/>
                <w:i w:val="0"/>
                <w:sz w:val="18"/>
                <w:szCs w:val="18"/>
              </w:rPr>
              <w:t>Legal source</w:t>
            </w:r>
          </w:p>
        </w:tc>
        <w:tc>
          <w:tcPr>
            <w:tcW w:type="dxa" w:w="4535"/>
          </w:tcPr>
          <w:p>
            <w:r/>
            <w:r>
              <w:rPr>
                <w:rFonts w:ascii="Calibri" w:hAnsi="Calibri" w:cs="Calibri" w:eastAsia="Calibri"/>
                <w:b w:val="0"/>
                <w:i w:val="0"/>
                <w:sz w:val="18"/>
                <w:szCs w:val="18"/>
              </w:rPr>
              <w:t>Section of the Act or notification clause.</w:t>
            </w:r>
          </w:p>
        </w:tc>
        <w:tc>
          <w:tcPr>
            <w:tcW w:type="dxa" w:w="2551"/>
          </w:tcPr>
          <w:p>
            <w:r/>
            <w:r>
              <w:rPr>
                <w:rFonts w:ascii="Calibri" w:hAnsi="Calibri" w:cs="Calibri" w:eastAsia="Calibri"/>
                <w:b w:val="0"/>
                <w:i w:val="0"/>
                <w:sz w:val="18"/>
                <w:szCs w:val="18"/>
              </w:rPr>
              <w:t>CSA s.54</w:t>
            </w:r>
          </w:p>
        </w:tc>
      </w:tr>
      <w:tr>
        <w:tc>
          <w:tcPr>
            <w:tcW w:type="dxa" w:w="2268"/>
          </w:tcPr>
          <w:p>
            <w:r/>
            <w:r>
              <w:rPr>
                <w:rFonts w:ascii="Calibri" w:hAnsi="Calibri" w:cs="Calibri" w:eastAsia="Calibri"/>
                <w:b w:val="0"/>
                <w:i w:val="0"/>
                <w:sz w:val="18"/>
                <w:szCs w:val="18"/>
              </w:rPr>
              <w:t>Requirement summary</w:t>
            </w:r>
          </w:p>
        </w:tc>
        <w:tc>
          <w:tcPr>
            <w:tcW w:type="dxa" w:w="4535"/>
          </w:tcPr>
          <w:p>
            <w:r/>
            <w:r>
              <w:rPr>
                <w:rFonts w:ascii="Calibri" w:hAnsi="Calibri" w:cs="Calibri" w:eastAsia="Calibri"/>
                <w:b w:val="0"/>
                <w:i w:val="0"/>
                <w:sz w:val="18"/>
                <w:szCs w:val="18"/>
              </w:rPr>
              <w:t>Plain-language duty.</w:t>
            </w:r>
          </w:p>
        </w:tc>
        <w:tc>
          <w:tcPr>
            <w:tcW w:type="dxa" w:w="2551"/>
          </w:tcPr>
          <w:p>
            <w:r/>
            <w:r>
              <w:rPr>
                <w:rFonts w:ascii="Calibri" w:hAnsi="Calibri" w:cs="Calibri" w:eastAsia="Calibri"/>
                <w:b w:val="0"/>
                <w:i w:val="0"/>
                <w:sz w:val="18"/>
                <w:szCs w:val="18"/>
              </w:rPr>
              <w:t>Annual risk assessment</w:t>
            </w:r>
          </w:p>
        </w:tc>
      </w:tr>
      <w:tr>
        <w:tc>
          <w:tcPr>
            <w:tcW w:type="dxa" w:w="2268"/>
          </w:tcPr>
          <w:p>
            <w:r/>
            <w:r>
              <w:rPr>
                <w:rFonts w:ascii="Calibri" w:hAnsi="Calibri" w:cs="Calibri" w:eastAsia="Calibri"/>
                <w:b w:val="0"/>
                <w:i w:val="0"/>
                <w:sz w:val="18"/>
                <w:szCs w:val="18"/>
              </w:rPr>
              <w:t>How the organization complies</w:t>
            </w:r>
          </w:p>
        </w:tc>
        <w:tc>
          <w:tcPr>
            <w:tcW w:type="dxa" w:w="4535"/>
          </w:tcPr>
          <w:p>
            <w:r/>
            <w:r>
              <w:rPr>
                <w:rFonts w:ascii="Calibri" w:hAnsi="Calibri" w:cs="Calibri" w:eastAsia="Calibri"/>
                <w:b w:val="0"/>
                <w:i w:val="0"/>
                <w:sz w:val="18"/>
                <w:szCs w:val="18"/>
              </w:rPr>
              <w:t>Process and responsible role.</w:t>
            </w:r>
          </w:p>
        </w:tc>
        <w:tc>
          <w:tcPr>
            <w:tcW w:type="dxa" w:w="2551"/>
          </w:tcPr>
          <w:p>
            <w:r/>
          </w:p>
        </w:tc>
      </w:tr>
      <w:tr>
        <w:tc>
          <w:tcPr>
            <w:tcW w:type="dxa" w:w="2268"/>
          </w:tcPr>
          <w:p>
            <w:r/>
            <w:r>
              <w:rPr>
                <w:rFonts w:ascii="Calibri" w:hAnsi="Calibri" w:cs="Calibri" w:eastAsia="Calibri"/>
                <w:b w:val="0"/>
                <w:i w:val="0"/>
                <w:sz w:val="18"/>
                <w:szCs w:val="18"/>
              </w:rPr>
              <w:t>Evidence</w:t>
            </w:r>
          </w:p>
        </w:tc>
        <w:tc>
          <w:tcPr>
            <w:tcW w:type="dxa" w:w="4535"/>
          </w:tcPr>
          <w:p>
            <w:r/>
            <w:r>
              <w:rPr>
                <w:rFonts w:ascii="Calibri" w:hAnsi="Calibri" w:cs="Calibri" w:eastAsia="Calibri"/>
                <w:b w:val="0"/>
                <w:i w:val="0"/>
                <w:sz w:val="18"/>
                <w:szCs w:val="18"/>
              </w:rPr>
              <w:t>Document IDs and records.</w:t>
            </w:r>
          </w:p>
        </w:tc>
        <w:tc>
          <w:tcPr>
            <w:tcW w:type="dxa" w:w="2551"/>
          </w:tcPr>
          <w:p>
            <w:r/>
            <w:r>
              <w:rPr>
                <w:rFonts w:ascii="Calibri" w:hAnsi="Calibri" w:cs="Calibri" w:eastAsia="Calibri"/>
                <w:b w:val="0"/>
                <w:i w:val="0"/>
                <w:sz w:val="18"/>
                <w:szCs w:val="18"/>
              </w:rPr>
              <w:t>ID-RPT-003</w:t>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Compliant, Partially compliant, Not compliant.</w:t>
            </w:r>
          </w:p>
        </w:tc>
        <w:tc>
          <w:tcPr>
            <w:tcW w:type="dxa" w:w="2551"/>
          </w:tcPr>
          <w:p>
            <w:r/>
            <w:r>
              <w:rPr>
                <w:rFonts w:ascii="Calibri" w:hAnsi="Calibri" w:cs="Calibri" w:eastAsia="Calibri"/>
                <w:b w:val="0"/>
                <w:i w:val="0"/>
                <w:sz w:val="18"/>
                <w:szCs w:val="18"/>
              </w:rPr>
              <w:t>Compliant</w:t>
            </w:r>
          </w:p>
        </w:tc>
      </w:tr>
      <w:tr>
        <w:tc>
          <w:tcPr>
            <w:tcW w:type="dxa" w:w="2268"/>
          </w:tcPr>
          <w:p>
            <w:r/>
            <w:r>
              <w:rPr>
                <w:rFonts w:ascii="Calibri" w:hAnsi="Calibri" w:cs="Calibri" w:eastAsia="Calibri"/>
                <w:b w:val="0"/>
                <w:i w:val="0"/>
                <w:sz w:val="18"/>
                <w:szCs w:val="18"/>
              </w:rPr>
              <w:t>Next due date</w:t>
            </w:r>
          </w:p>
        </w:tc>
        <w:tc>
          <w:tcPr>
            <w:tcW w:type="dxa" w:w="4535"/>
          </w:tcPr>
          <w:p>
            <w:r/>
            <w:r>
              <w:rPr>
                <w:rFonts w:ascii="Calibri" w:hAnsi="Calibri" w:cs="Calibri" w:eastAsia="Calibri"/>
                <w:b w:val="0"/>
                <w:i w:val="0"/>
                <w:sz w:val="18"/>
                <w:szCs w:val="18"/>
              </w:rPr>
              <w:t>For recurring duties.</w:t>
            </w:r>
          </w:p>
        </w:tc>
        <w:tc>
          <w:tcPr>
            <w:tcW w:type="dxa" w:w="2551"/>
          </w:tcPr>
          <w:p>
            <w:r/>
            <w:r>
              <w:rPr>
                <w:rFonts w:ascii="Calibri" w:hAnsi="Calibri" w:cs="Calibri" w:eastAsia="Calibri"/>
                <w:b w:val="0"/>
                <w:i w:val="0"/>
                <w:sz w:val="18"/>
                <w:szCs w:val="18"/>
              </w:rPr>
              <w:t>31/01/2027</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2162"/>
        <w:gridCol w:w="2162"/>
        <w:gridCol w:w="2162"/>
        <w:gridCol w:w="2162"/>
        <w:gridCol w:w="2162"/>
        <w:gridCol w:w="2162"/>
        <w:gridCol w:w="2162"/>
      </w:tblGrid>
      <w:tr>
        <w:trPr>
          <w:tblHeader w:val="true"/>
        </w:trPr>
        <w:tc>
          <w:tcPr>
            <w:tcW w:type="dxa" w:w="2162"/>
            <w:shd w:val="clear" w:color="auto" w:fill="1F3864"/>
          </w:tcPr>
          <w:p>
            <w:r/>
            <w:r>
              <w:rPr>
                <w:rFonts w:ascii="Calibri" w:hAnsi="Calibri" w:cs="Calibri" w:eastAsia="Calibri"/>
                <w:b/>
                <w:i w:val="0"/>
                <w:color w:val="FFFFFF"/>
                <w:sz w:val="16"/>
                <w:szCs w:val="16"/>
                <w:bCs/>
              </w:rPr>
              <w:t>Requirement ID</w:t>
            </w:r>
          </w:p>
        </w:tc>
        <w:tc>
          <w:tcPr>
            <w:tcW w:type="dxa" w:w="2162"/>
            <w:shd w:val="clear" w:color="auto" w:fill="1F3864"/>
          </w:tcPr>
          <w:p>
            <w:r/>
            <w:r>
              <w:rPr>
                <w:rFonts w:ascii="Calibri" w:hAnsi="Calibri" w:cs="Calibri" w:eastAsia="Calibri"/>
                <w:b/>
                <w:i w:val="0"/>
                <w:color w:val="FFFFFF"/>
                <w:sz w:val="16"/>
                <w:szCs w:val="16"/>
                <w:bCs/>
              </w:rPr>
              <w:t>Legal source</w:t>
            </w:r>
          </w:p>
        </w:tc>
        <w:tc>
          <w:tcPr>
            <w:tcW w:type="dxa" w:w="2162"/>
            <w:shd w:val="clear" w:color="auto" w:fill="1F3864"/>
          </w:tcPr>
          <w:p>
            <w:r/>
            <w:r>
              <w:rPr>
                <w:rFonts w:ascii="Calibri" w:hAnsi="Calibri" w:cs="Calibri" w:eastAsia="Calibri"/>
                <w:b/>
                <w:i w:val="0"/>
                <w:color w:val="FFFFFF"/>
                <w:sz w:val="16"/>
                <w:szCs w:val="16"/>
                <w:bCs/>
              </w:rPr>
              <w:t>Requirement summary</w:t>
            </w:r>
          </w:p>
        </w:tc>
        <w:tc>
          <w:tcPr>
            <w:tcW w:type="dxa" w:w="2162"/>
            <w:shd w:val="clear" w:color="auto" w:fill="1F3864"/>
          </w:tcPr>
          <w:p>
            <w:r/>
            <w:r>
              <w:rPr>
                <w:rFonts w:ascii="Calibri" w:hAnsi="Calibri" w:cs="Calibri" w:eastAsia="Calibri"/>
                <w:b/>
                <w:i w:val="0"/>
                <w:color w:val="FFFFFF"/>
                <w:sz w:val="16"/>
                <w:szCs w:val="16"/>
                <w:bCs/>
              </w:rPr>
              <w:t>How the organization complies</w:t>
            </w:r>
          </w:p>
        </w:tc>
        <w:tc>
          <w:tcPr>
            <w:tcW w:type="dxa" w:w="2162"/>
            <w:shd w:val="clear" w:color="auto" w:fill="1F3864"/>
          </w:tcPr>
          <w:p>
            <w:r/>
            <w:r>
              <w:rPr>
                <w:rFonts w:ascii="Calibri" w:hAnsi="Calibri" w:cs="Calibri" w:eastAsia="Calibri"/>
                <w:b/>
                <w:i w:val="0"/>
                <w:color w:val="FFFFFF"/>
                <w:sz w:val="16"/>
                <w:szCs w:val="16"/>
                <w:bCs/>
              </w:rPr>
              <w:t>Evidence</w:t>
            </w:r>
          </w:p>
        </w:tc>
        <w:tc>
          <w:tcPr>
            <w:tcW w:type="dxa" w:w="2162"/>
            <w:shd w:val="clear" w:color="auto" w:fill="1F3864"/>
          </w:tcPr>
          <w:p>
            <w:r/>
            <w:r>
              <w:rPr>
                <w:rFonts w:ascii="Calibri" w:hAnsi="Calibri" w:cs="Calibri" w:eastAsia="Calibri"/>
                <w:b/>
                <w:i w:val="0"/>
                <w:color w:val="FFFFFF"/>
                <w:sz w:val="16"/>
                <w:szCs w:val="16"/>
                <w:bCs/>
              </w:rPr>
              <w:t>Status</w:t>
            </w:r>
          </w:p>
        </w:tc>
        <w:tc>
          <w:tcPr>
            <w:tcW w:type="dxa" w:w="2162"/>
            <w:shd w:val="clear" w:color="auto" w:fill="1F3864"/>
          </w:tcPr>
          <w:p>
            <w:r/>
            <w:r>
              <w:rPr>
                <w:rFonts w:ascii="Calibri" w:hAnsi="Calibri" w:cs="Calibri" w:eastAsia="Calibri"/>
                <w:b/>
                <w:i w:val="0"/>
                <w:color w:val="FFFFFF"/>
                <w:sz w:val="16"/>
                <w:szCs w:val="16"/>
                <w:bCs/>
              </w:rPr>
              <w:t>Next due date</w:t>
            </w:r>
          </w:p>
        </w:tc>
      </w:tr>
      <w:tr>
        <w:tc>
          <w:tcPr>
            <w:tcW w:type="dxa" w:w="2162"/>
          </w:tcPr>
          <w:p>
            <w:r/>
            <w:r>
              <w:rPr>
                <w:rFonts w:ascii="Calibri" w:hAnsi="Calibri" w:cs="Calibri" w:eastAsia="Calibri"/>
                <w:b w:val="0"/>
                <w:i w:val="0"/>
                <w:sz w:val="16"/>
                <w:szCs w:val="16"/>
              </w:rPr>
              <w:t>CII-01</w:t>
            </w:r>
          </w:p>
        </w:tc>
        <w:tc>
          <w:tcPr>
            <w:tcW w:type="dxa" w:w="2162"/>
          </w:tcPr>
          <w:p>
            <w:r/>
            <w:r>
              <w:rPr>
                <w:rFonts w:ascii="Calibri" w:hAnsi="Calibri" w:cs="Calibri" w:eastAsia="Calibri"/>
                <w:b w:val="0"/>
                <w:i w:val="0"/>
                <w:sz w:val="16"/>
                <w:szCs w:val="16"/>
              </w:rPr>
              <w:t>CSA s.44</w:t>
            </w:r>
          </w:p>
        </w:tc>
        <w:tc>
          <w:tcPr>
            <w:tcW w:type="dxa" w:w="2162"/>
          </w:tcPr>
          <w:p>
            <w:r/>
            <w:r>
              <w:rPr>
                <w:rFonts w:ascii="Calibri" w:hAnsi="Calibri" w:cs="Calibri" w:eastAsia="Calibri"/>
                <w:b w:val="0"/>
                <w:i w:val="0"/>
                <w:sz w:val="16"/>
                <w:szCs w:val="16"/>
              </w:rPr>
              <w:t>Prepare a code of practice and standard framework consistent with the NCSC notification</w:t>
            </w:r>
          </w:p>
        </w:tc>
        <w:tc>
          <w:tcPr>
            <w:tcW w:type="dxa" w:w="2162"/>
          </w:tcPr>
          <w:p>
            <w:r/>
            <w:r>
              <w:rPr>
                <w:rFonts w:ascii="Calibri" w:hAnsi="Calibri" w:cs="Calibri" w:eastAsia="Calibri"/>
                <w:b w:val="0"/>
                <w:i w:val="0"/>
                <w:sz w:val="16"/>
                <w:szCs w:val="16"/>
              </w:rPr>
              <w:t>This document pack forms CMC's code of practice; ISSC approved the mapping in 2025</w:t>
            </w:r>
          </w:p>
        </w:tc>
        <w:tc>
          <w:tcPr>
            <w:tcW w:type="dxa" w:w="2162"/>
          </w:tcPr>
          <w:p>
            <w:r/>
            <w:r>
              <w:rPr>
                <w:rFonts w:ascii="Calibri" w:hAnsi="Calibri" w:cs="Calibri" w:eastAsia="Calibri"/>
                <w:b w:val="0"/>
                <w:i w:val="0"/>
                <w:sz w:val="16"/>
                <w:szCs w:val="16"/>
              </w:rPr>
              <w:t>GV-POL-001, this matrix</w:t>
            </w:r>
          </w:p>
        </w:tc>
        <w:tc>
          <w:tcPr>
            <w:tcW w:type="dxa" w:w="2162"/>
          </w:tcPr>
          <w:p>
            <w:r/>
            <w:r>
              <w:rPr>
                <w:rFonts w:ascii="Calibri" w:hAnsi="Calibri" w:cs="Calibri" w:eastAsia="Calibri"/>
                <w:b w:val="0"/>
                <w:i w:val="0"/>
                <w:sz w:val="16"/>
                <w:szCs w:val="16"/>
              </w:rPr>
              <w:t>Compliant</w:t>
            </w:r>
          </w:p>
        </w:tc>
        <w:tc>
          <w:tcPr>
            <w:tcW w:type="dxa" w:w="2162"/>
          </w:tcPr>
          <w:p>
            <w:r/>
            <w:r>
              <w:rPr>
                <w:rFonts w:ascii="Calibri" w:hAnsi="Calibri" w:cs="Calibri" w:eastAsia="Calibri"/>
                <w:b w:val="0"/>
                <w:i w:val="0"/>
                <w:sz w:val="16"/>
                <w:szCs w:val="16"/>
              </w:rPr>
              <w:t>Annual review</w:t>
            </w:r>
          </w:p>
        </w:tc>
      </w:tr>
      <w:tr>
        <w:tc>
          <w:tcPr>
            <w:tcW w:type="dxa" w:w="2162"/>
          </w:tcPr>
          <w:p>
            <w:r/>
            <w:r>
              <w:rPr>
                <w:rFonts w:ascii="Calibri" w:hAnsi="Calibri" w:cs="Calibri" w:eastAsia="Calibri"/>
                <w:b w:val="0"/>
                <w:i w:val="0"/>
                <w:sz w:val="16"/>
                <w:szCs w:val="16"/>
              </w:rPr>
              <w:t>CII-02</w:t>
            </w:r>
          </w:p>
        </w:tc>
        <w:tc>
          <w:tcPr>
            <w:tcW w:type="dxa" w:w="2162"/>
          </w:tcPr>
          <w:p>
            <w:r/>
            <w:r>
              <w:rPr>
                <w:rFonts w:ascii="Calibri" w:hAnsi="Calibri" w:cs="Calibri" w:eastAsia="Calibri"/>
                <w:b w:val="0"/>
                <w:i w:val="0"/>
                <w:sz w:val="16"/>
                <w:szCs w:val="16"/>
              </w:rPr>
              <w:t>CSA s.46 and s.52</w:t>
            </w:r>
          </w:p>
        </w:tc>
        <w:tc>
          <w:tcPr>
            <w:tcW w:type="dxa" w:w="2162"/>
          </w:tcPr>
          <w:p>
            <w:r/>
            <w:r>
              <w:rPr>
                <w:rFonts w:ascii="Calibri" w:hAnsi="Calibri" w:cs="Calibri" w:eastAsia="Calibri"/>
                <w:b w:val="0"/>
                <w:i w:val="0"/>
                <w:sz w:val="16"/>
                <w:szCs w:val="16"/>
              </w:rPr>
              <w:t>Name executive and operational contact officers; give NCSA and the regulator contact details within 30 days and notify changes</w:t>
            </w:r>
          </w:p>
        </w:tc>
        <w:tc>
          <w:tcPr>
            <w:tcW w:type="dxa" w:w="2162"/>
          </w:tcPr>
          <w:p>
            <w:r/>
            <w:r>
              <w:rPr>
                <w:rFonts w:ascii="Calibri" w:hAnsi="Calibri" w:cs="Calibri" w:eastAsia="Calibri"/>
                <w:b w:val="0"/>
                <w:i w:val="0"/>
                <w:sz w:val="16"/>
                <w:szCs w:val="16"/>
              </w:rPr>
              <w:t>CIO (executive) and Security Manager (operational) registered with NCSA</w:t>
            </w:r>
          </w:p>
        </w:tc>
        <w:tc>
          <w:tcPr>
            <w:tcW w:type="dxa" w:w="2162"/>
          </w:tcPr>
          <w:p>
            <w:r/>
            <w:r>
              <w:rPr>
                <w:rFonts w:ascii="Calibri" w:hAnsi="Calibri" w:cs="Calibri" w:eastAsia="Calibri"/>
                <w:b w:val="0"/>
                <w:i w:val="0"/>
                <w:sz w:val="16"/>
                <w:szCs w:val="16"/>
              </w:rPr>
              <w:t>RS-REG-002</w:t>
            </w:r>
          </w:p>
        </w:tc>
        <w:tc>
          <w:tcPr>
            <w:tcW w:type="dxa" w:w="2162"/>
          </w:tcPr>
          <w:p>
            <w:r/>
            <w:r>
              <w:rPr>
                <w:rFonts w:ascii="Calibri" w:hAnsi="Calibri" w:cs="Calibri" w:eastAsia="Calibri"/>
                <w:b w:val="0"/>
                <w:i w:val="0"/>
                <w:sz w:val="16"/>
                <w:szCs w:val="16"/>
              </w:rPr>
              <w:t>Compliant</w:t>
            </w:r>
          </w:p>
        </w:tc>
        <w:tc>
          <w:tcPr>
            <w:tcW w:type="dxa" w:w="2162"/>
          </w:tcPr>
          <w:p>
            <w:r/>
            <w:r>
              <w:rPr>
                <w:rFonts w:ascii="Calibri" w:hAnsi="Calibri" w:cs="Calibri" w:eastAsia="Calibri"/>
                <w:b w:val="0"/>
                <w:i w:val="0"/>
                <w:sz w:val="16"/>
                <w:szCs w:val="16"/>
              </w:rPr>
              <w:t>On change</w:t>
            </w:r>
          </w:p>
        </w:tc>
      </w:tr>
      <w:tr>
        <w:tc>
          <w:tcPr>
            <w:tcW w:type="dxa" w:w="2162"/>
          </w:tcPr>
          <w:p>
            <w:r/>
            <w:r>
              <w:rPr>
                <w:rFonts w:ascii="Calibri" w:hAnsi="Calibri" w:cs="Calibri" w:eastAsia="Calibri"/>
                <w:b w:val="0"/>
                <w:i w:val="0"/>
                <w:sz w:val="16"/>
                <w:szCs w:val="16"/>
              </w:rPr>
              <w:t>CII-03</w:t>
            </w:r>
          </w:p>
        </w:tc>
        <w:tc>
          <w:tcPr>
            <w:tcW w:type="dxa" w:w="2162"/>
          </w:tcPr>
          <w:p>
            <w:r/>
            <w:r>
              <w:rPr>
                <w:rFonts w:ascii="Calibri" w:hAnsi="Calibri" w:cs="Calibri" w:eastAsia="Calibri"/>
                <w:b w:val="0"/>
                <w:i w:val="0"/>
                <w:sz w:val="16"/>
                <w:szCs w:val="16"/>
              </w:rPr>
              <w:t>CSA s.54</w:t>
            </w:r>
          </w:p>
        </w:tc>
        <w:tc>
          <w:tcPr>
            <w:tcW w:type="dxa" w:w="2162"/>
          </w:tcPr>
          <w:p>
            <w:r/>
            <w:r>
              <w:rPr>
                <w:rFonts w:ascii="Calibri" w:hAnsi="Calibri" w:cs="Calibri" w:eastAsia="Calibri"/>
                <w:b w:val="0"/>
                <w:i w:val="0"/>
                <w:sz w:val="16"/>
                <w:szCs w:val="16"/>
              </w:rPr>
              <w:t>Annual risk assessment by an assessor and annual audit by an internal or external auditor; summary to NCSA within 30 days</w:t>
            </w:r>
          </w:p>
        </w:tc>
        <w:tc>
          <w:tcPr>
            <w:tcW w:type="dxa" w:w="2162"/>
          </w:tcPr>
          <w:p>
            <w:r/>
            <w:r>
              <w:rPr>
                <w:rFonts w:ascii="Calibri" w:hAnsi="Calibri" w:cs="Calibri" w:eastAsia="Calibri"/>
                <w:b w:val="0"/>
                <w:i w:val="0"/>
                <w:sz w:val="16"/>
                <w:szCs w:val="16"/>
              </w:rPr>
              <w:t>External assessor engaged each year; Internal Audit runs the annual cybersecurity audit</w:t>
            </w:r>
          </w:p>
        </w:tc>
        <w:tc>
          <w:tcPr>
            <w:tcW w:type="dxa" w:w="2162"/>
          </w:tcPr>
          <w:p>
            <w:r/>
            <w:r>
              <w:rPr>
                <w:rFonts w:ascii="Calibri" w:hAnsi="Calibri" w:cs="Calibri" w:eastAsia="Calibri"/>
                <w:b w:val="0"/>
                <w:i w:val="0"/>
                <w:sz w:val="16"/>
                <w:szCs w:val="16"/>
              </w:rPr>
              <w:t>ID-RPT-003, GV-PLN-002, GV-TPL-006</w:t>
            </w:r>
          </w:p>
        </w:tc>
        <w:tc>
          <w:tcPr>
            <w:tcW w:type="dxa" w:w="2162"/>
          </w:tcPr>
          <w:p>
            <w:r/>
            <w:r>
              <w:rPr>
                <w:rFonts w:ascii="Calibri" w:hAnsi="Calibri" w:cs="Calibri" w:eastAsia="Calibri"/>
                <w:b w:val="0"/>
                <w:i w:val="0"/>
                <w:sz w:val="16"/>
                <w:szCs w:val="16"/>
              </w:rPr>
              <w:t>Compliant</w:t>
            </w:r>
          </w:p>
        </w:tc>
        <w:tc>
          <w:tcPr>
            <w:tcW w:type="dxa" w:w="2162"/>
          </w:tcPr>
          <w:p>
            <w:r/>
            <w:r>
              <w:rPr>
                <w:rFonts w:ascii="Calibri" w:hAnsi="Calibri" w:cs="Calibri" w:eastAsia="Calibri"/>
                <w:b w:val="0"/>
                <w:i w:val="0"/>
                <w:sz w:val="16"/>
                <w:szCs w:val="16"/>
              </w:rPr>
              <w:t>31/01/2027 [VERIFY]</w:t>
            </w:r>
          </w:p>
        </w:tc>
      </w:tr>
      <w:tr>
        <w:tc>
          <w:tcPr>
            <w:tcW w:type="dxa" w:w="2162"/>
          </w:tcPr>
          <w:p>
            <w:r/>
            <w:r>
              <w:rPr>
                <w:rFonts w:ascii="Calibri" w:hAnsi="Calibri" w:cs="Calibri" w:eastAsia="Calibri"/>
                <w:b w:val="0"/>
                <w:i w:val="0"/>
                <w:sz w:val="16"/>
                <w:szCs w:val="16"/>
              </w:rPr>
              <w:t>CII-04</w:t>
            </w:r>
          </w:p>
        </w:tc>
        <w:tc>
          <w:tcPr>
            <w:tcW w:type="dxa" w:w="2162"/>
          </w:tcPr>
          <w:p>
            <w:r/>
            <w:r>
              <w:rPr>
                <w:rFonts w:ascii="Calibri" w:hAnsi="Calibri" w:cs="Calibri" w:eastAsia="Calibri"/>
                <w:b w:val="0"/>
                <w:i w:val="0"/>
                <w:sz w:val="16"/>
                <w:szCs w:val="16"/>
              </w:rPr>
              <w:t>CSA s.56</w:t>
            </w:r>
          </w:p>
        </w:tc>
        <w:tc>
          <w:tcPr>
            <w:tcW w:type="dxa" w:w="2162"/>
          </w:tcPr>
          <w:p>
            <w:r/>
            <w:r>
              <w:rPr>
                <w:rFonts w:ascii="Calibri" w:hAnsi="Calibri" w:cs="Calibri" w:eastAsia="Calibri"/>
                <w:b w:val="0"/>
                <w:i w:val="0"/>
                <w:sz w:val="16"/>
                <w:szCs w:val="16"/>
              </w:rPr>
              <w:t>Set up monitoring mechanisms and take part in NCSA readiness tests</w:t>
            </w:r>
          </w:p>
        </w:tc>
        <w:tc>
          <w:tcPr>
            <w:tcW w:type="dxa" w:w="2162"/>
          </w:tcPr>
          <w:p>
            <w:r/>
            <w:r>
              <w:rPr>
                <w:rFonts w:ascii="Calibri" w:hAnsi="Calibri" w:cs="Calibri" w:eastAsia="Calibri"/>
                <w:b w:val="0"/>
                <w:i w:val="0"/>
                <w:sz w:val="16"/>
                <w:szCs w:val="16"/>
              </w:rPr>
              <w:t>MSSP 24x7 monitoring since March 2026; joined the 2026 national cyber exercise</w:t>
            </w:r>
          </w:p>
        </w:tc>
        <w:tc>
          <w:tcPr>
            <w:tcW w:type="dxa" w:w="2162"/>
          </w:tcPr>
          <w:p>
            <w:r/>
            <w:r>
              <w:rPr>
                <w:rFonts w:ascii="Calibri" w:hAnsi="Calibri" w:cs="Calibri" w:eastAsia="Calibri"/>
                <w:b w:val="0"/>
                <w:i w:val="0"/>
                <w:sz w:val="16"/>
                <w:szCs w:val="16"/>
              </w:rPr>
              <w:t>DE-STD-001, ID-PLN-002</w:t>
            </w:r>
          </w:p>
        </w:tc>
        <w:tc>
          <w:tcPr>
            <w:tcW w:type="dxa" w:w="2162"/>
          </w:tcPr>
          <w:p>
            <w:r/>
            <w:r>
              <w:rPr>
                <w:rFonts w:ascii="Calibri" w:hAnsi="Calibri" w:cs="Calibri" w:eastAsia="Calibri"/>
                <w:b w:val="0"/>
                <w:i w:val="0"/>
                <w:sz w:val="16"/>
                <w:szCs w:val="16"/>
              </w:rPr>
              <w:t>Compliant</w:t>
            </w:r>
          </w:p>
        </w:tc>
        <w:tc>
          <w:tcPr>
            <w:tcW w:type="dxa" w:w="2162"/>
          </w:tcPr>
          <w:p>
            <w:r/>
            <w:r>
              <w:rPr>
                <w:rFonts w:ascii="Calibri" w:hAnsi="Calibri" w:cs="Calibri" w:eastAsia="Calibri"/>
                <w:b w:val="0"/>
                <w:i w:val="0"/>
                <w:sz w:val="16"/>
                <w:szCs w:val="16"/>
              </w:rPr>
              <w:t>As scheduled by NCSA</w:t>
            </w:r>
          </w:p>
        </w:tc>
      </w:tr>
      <w:tr>
        <w:tc>
          <w:tcPr>
            <w:tcW w:type="dxa" w:w="2162"/>
          </w:tcPr>
          <w:p>
            <w:r/>
            <w:r>
              <w:rPr>
                <w:rFonts w:ascii="Calibri" w:hAnsi="Calibri" w:cs="Calibri" w:eastAsia="Calibri"/>
                <w:b w:val="0"/>
                <w:i w:val="0"/>
                <w:sz w:val="16"/>
                <w:szCs w:val="16"/>
              </w:rPr>
              <w:t>CII-05</w:t>
            </w:r>
          </w:p>
        </w:tc>
        <w:tc>
          <w:tcPr>
            <w:tcW w:type="dxa" w:w="2162"/>
          </w:tcPr>
          <w:p>
            <w:r/>
            <w:r>
              <w:rPr>
                <w:rFonts w:ascii="Calibri" w:hAnsi="Calibri" w:cs="Calibri" w:eastAsia="Calibri"/>
                <w:b w:val="0"/>
                <w:i w:val="0"/>
                <w:sz w:val="16"/>
                <w:szCs w:val="16"/>
              </w:rPr>
              <w:t>CSA s.57 and s.58; CRC Notification 2024</w:t>
            </w:r>
          </w:p>
        </w:tc>
        <w:tc>
          <w:tcPr>
            <w:tcW w:type="dxa" w:w="2162"/>
          </w:tcPr>
          <w:p>
            <w:r/>
            <w:r>
              <w:rPr>
                <w:rFonts w:ascii="Calibri" w:hAnsi="Calibri" w:cs="Calibri" w:eastAsia="Calibri"/>
                <w:b w:val="0"/>
                <w:i w:val="0"/>
                <w:sz w:val="16"/>
                <w:szCs w:val="16"/>
              </w:rPr>
              <w:t>Report significant incidents to NCSA and the regulator and respond under the code of practice</w:t>
            </w:r>
          </w:p>
        </w:tc>
        <w:tc>
          <w:tcPr>
            <w:tcW w:type="dxa" w:w="2162"/>
          </w:tcPr>
          <w:p>
            <w:r/>
            <w:r>
              <w:rPr>
                <w:rFonts w:ascii="Calibri" w:hAnsi="Calibri" w:cs="Calibri" w:eastAsia="Calibri"/>
                <w:b w:val="0"/>
                <w:i w:val="0"/>
                <w:sz w:val="16"/>
                <w:szCs w:val="16"/>
              </w:rPr>
              <w:t>Notification steps and 24-hour clock in RS-PRC-003</w:t>
            </w:r>
          </w:p>
        </w:tc>
        <w:tc>
          <w:tcPr>
            <w:tcW w:type="dxa" w:w="2162"/>
          </w:tcPr>
          <w:p>
            <w:r/>
            <w:r>
              <w:rPr>
                <w:rFonts w:ascii="Calibri" w:hAnsi="Calibri" w:cs="Calibri" w:eastAsia="Calibri"/>
                <w:b w:val="0"/>
                <w:i w:val="0"/>
                <w:sz w:val="16"/>
                <w:szCs w:val="16"/>
              </w:rPr>
              <w:t>RS-PLN-001, RS-PRC-003</w:t>
            </w:r>
          </w:p>
        </w:tc>
        <w:tc>
          <w:tcPr>
            <w:tcW w:type="dxa" w:w="2162"/>
          </w:tcPr>
          <w:p>
            <w:r/>
            <w:r>
              <w:rPr>
                <w:rFonts w:ascii="Calibri" w:hAnsi="Calibri" w:cs="Calibri" w:eastAsia="Calibri"/>
                <w:b w:val="0"/>
                <w:i w:val="0"/>
                <w:sz w:val="16"/>
                <w:szCs w:val="16"/>
              </w:rPr>
              <w:t>Partially compliant (regulator portal access pending)</w:t>
            </w:r>
          </w:p>
        </w:tc>
        <w:tc>
          <w:tcPr>
            <w:tcW w:type="dxa" w:w="2162"/>
          </w:tcPr>
          <w:p>
            <w:r/>
            <w:r>
              <w:rPr>
                <w:rFonts w:ascii="Calibri" w:hAnsi="Calibri" w:cs="Calibri" w:eastAsia="Calibri"/>
                <w:b w:val="0"/>
                <w:i w:val="0"/>
                <w:sz w:val="16"/>
                <w:szCs w:val="16"/>
              </w:rPr>
              <w:t>30/11/2026</w:t>
            </w:r>
          </w:p>
        </w:tc>
      </w:tr>
      <w:tr>
        <w:tc>
          <w:tcPr>
            <w:tcW w:type="dxa" w:w="2162"/>
          </w:tcPr>
          <w:p>
            <w:r/>
            <w:r>
              <w:rPr>
                <w:rFonts w:ascii="Calibri" w:hAnsi="Calibri" w:cs="Calibri" w:eastAsia="Calibri"/>
                <w:b w:val="0"/>
                <w:i w:val="0"/>
                <w:sz w:val="16"/>
                <w:szCs w:val="16"/>
              </w:rPr>
              <w:t>CII-06</w:t>
            </w:r>
          </w:p>
        </w:tc>
        <w:tc>
          <w:tcPr>
            <w:tcW w:type="dxa" w:w="2162"/>
          </w:tcPr>
          <w:p>
            <w:r/>
            <w:r>
              <w:rPr>
                <w:rFonts w:ascii="Calibri" w:hAnsi="Calibri" w:cs="Calibri" w:eastAsia="Calibri"/>
                <w:b w:val="0"/>
                <w:i w:val="0"/>
                <w:sz w:val="16"/>
                <w:szCs w:val="16"/>
              </w:rPr>
              <w:t>CRC Notification 2024 [VERIFY]</w:t>
            </w:r>
          </w:p>
        </w:tc>
        <w:tc>
          <w:tcPr>
            <w:tcW w:type="dxa" w:w="2162"/>
          </w:tcPr>
          <w:p>
            <w:r/>
            <w:r>
              <w:rPr>
                <w:rFonts w:ascii="Calibri" w:hAnsi="Calibri" w:cs="Calibri" w:eastAsia="Calibri"/>
                <w:b w:val="0"/>
                <w:i w:val="0"/>
                <w:sz w:val="16"/>
                <w:szCs w:val="16"/>
              </w:rPr>
              <w:t>Prepare a BCP under prescribed criteria and exercise it at least once a year</w:t>
            </w:r>
          </w:p>
        </w:tc>
        <w:tc>
          <w:tcPr>
            <w:tcW w:type="dxa" w:w="2162"/>
          </w:tcPr>
          <w:p>
            <w:r/>
            <w:r>
              <w:rPr>
                <w:rFonts w:ascii="Calibri" w:hAnsi="Calibri" w:cs="Calibri" w:eastAsia="Calibri"/>
                <w:b w:val="0"/>
                <w:i w:val="0"/>
                <w:sz w:val="16"/>
                <w:szCs w:val="16"/>
              </w:rPr>
              <w:t>Hospital BCP covers cyber scenarios; exercise held February 2026</w:t>
            </w:r>
          </w:p>
        </w:tc>
        <w:tc>
          <w:tcPr>
            <w:tcW w:type="dxa" w:w="2162"/>
          </w:tcPr>
          <w:p>
            <w:r/>
            <w:r>
              <w:rPr>
                <w:rFonts w:ascii="Calibri" w:hAnsi="Calibri" w:cs="Calibri" w:eastAsia="Calibri"/>
                <w:b w:val="0"/>
                <w:i w:val="0"/>
                <w:sz w:val="16"/>
                <w:szCs w:val="16"/>
              </w:rPr>
              <w:t>RC-PLN-001, RC-REC-001</w:t>
            </w:r>
          </w:p>
        </w:tc>
        <w:tc>
          <w:tcPr>
            <w:tcW w:type="dxa" w:w="2162"/>
          </w:tcPr>
          <w:p>
            <w:r/>
            <w:r>
              <w:rPr>
                <w:rFonts w:ascii="Calibri" w:hAnsi="Calibri" w:cs="Calibri" w:eastAsia="Calibri"/>
                <w:b w:val="0"/>
                <w:i w:val="0"/>
                <w:sz w:val="16"/>
                <w:szCs w:val="16"/>
              </w:rPr>
              <w:t>Compliant</w:t>
            </w:r>
          </w:p>
        </w:tc>
        <w:tc>
          <w:tcPr>
            <w:tcW w:type="dxa" w:w="2162"/>
          </w:tcPr>
          <w:p>
            <w:r/>
            <w:r>
              <w:rPr>
                <w:rFonts w:ascii="Calibri" w:hAnsi="Calibri" w:cs="Calibri" w:eastAsia="Calibri"/>
                <w:b w:val="0"/>
                <w:i w:val="0"/>
                <w:sz w:val="16"/>
                <w:szCs w:val="16"/>
              </w:rPr>
              <w:t>28/02/2027</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Re-check the matrix against the latest NCSC and CRC notifications every year; Thai cyber regulations change often.</w:t>
      </w:r>
    </w:p>
    <w:p>
      <w:pPr>
        <w:pStyle w:val="ListBullet"/>
        <w:spacing w:after="40"/>
      </w:pPr>
      <w:r>
        <w:rPr>
          <w:rFonts w:ascii="Calibri" w:hAnsi="Calibri" w:cs="Calibri" w:eastAsia="Calibri"/>
          <w:b w:val="0"/>
          <w:i w:val="0"/>
          <w:sz w:val="21"/>
          <w:szCs w:val="21"/>
        </w:rPr>
        <w:t>Keep submission receipts from NCSA and the regulator as evidence.</w:t>
      </w:r>
    </w:p>
    <w:p>
      <w:pPr>
        <w:pStyle w:val="ListBullet"/>
        <w:spacing w:after="40"/>
      </w:pPr>
      <w:r>
        <w:rPr>
          <w:rFonts w:ascii="Calibri" w:hAnsi="Calibri" w:cs="Calibri" w:eastAsia="Calibri"/>
          <w:b w:val="0"/>
          <w:i w:val="0"/>
          <w:sz w:val="21"/>
          <w:szCs w:val="21"/>
        </w:rPr>
        <w:t>Have Legal Counsel confirm each legal reference before the annual audit.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Assuming ISO/IEC 27001 certification alone satisfies CII duties; reporting and submission duties are separate.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GV.PO-01: Cybersecurity policy is established, communicated, and enforced based on context, strategy, and priorities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s.44; NCSC Notification on Code of Practice and Standard Framework B.E. 2564; CRC Notification on CII duties 2024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GV-REG-001: Legal, Regulatory, and Contractual Requirements Register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GV-REG-006  |  CII Code of Practice Compliance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