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pPr>
      <w:r>
        <w:rPr>
          <w:rFonts w:ascii="Calibri" w:hAnsi="Calibri" w:cs="Calibri" w:eastAsia="Calibri"/>
          <w:b/>
          <w:i w:val="0"/>
          <w:color w:val="595959"/>
          <w:sz w:val="23"/>
          <w:szCs w:val="23"/>
          <w:bCs/>
        </w:rPr>
        <w:t>Chaophraya Medical Center (CMC)</w:t>
      </w:r>
    </w:p>
    <w:p>
      <w:pPr>
        <w:pStyle w:val="Heading1"/>
        <w:keepNext/>
        <w:spacing w:before="200" w:after="80"/>
      </w:pPr>
      <w:r>
        <w:rPr>
          <w:rFonts w:ascii="Calibri" w:hAnsi="Calibri" w:cs="Calibri" w:eastAsia="Calibri"/>
          <w:b/>
          <w:i w:val="0"/>
          <w:color w:val="1F3864"/>
          <w:sz w:val="39"/>
          <w:szCs w:val="39"/>
          <w:bCs/>
        </w:rPr>
        <w:t>Record of Processing Activities (ROPA)</w:t>
      </w:r>
    </w:p>
    <w:p>
      <w:pPr>
        <w:spacing w:after="80" w:before="0"/>
      </w:pPr>
      <w:r>
        <w:rPr>
          <w:rFonts w:ascii="Calibri" w:hAnsi="Calibri" w:cs="Calibri" w:eastAsia="Calibri"/>
          <w:b w:val="0"/>
          <w:i w:val="0"/>
          <w:color w:val="595959"/>
          <w:sz w:val="18"/>
          <w:szCs w:val="18"/>
        </w:rPr>
        <w:t>GV-REG-007  |  Register  |  Policy (GV.PO)</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About This Sample: </w:t>
            </w:r>
            <w:r>
              <w:rPr>
                <w:rFonts w:ascii="Calibri" w:hAnsi="Calibri" w:cs="Calibri" w:eastAsia="Calibri"/>
                <w:b w:val="0"/>
                <w:i w:val="0"/>
                <w:sz w:val="18"/>
                <w:szCs w:val="18"/>
              </w:rPr>
              <w:t>This sample shows how Chaophraya Medical Center (CMC), a fictional private hospital group in Thailand, applies the template. CMC operates two hospitals with about 300 beds, 1,200 staff, and an IT team of 25. CMC is designated Critical Information Infrastructure (CII) in the public health sector and processes sensitive health data under the PDPA. All names, systems, vendors, and figures are fictional.</w:t>
            </w:r>
          </w:p>
        </w:tc>
      </w:tr>
    </w:tbl>
    <w:p>
      <w:pPr>
        <w:spacing w:after="0"/>
      </w:pPr>
    </w:p>
    <w:p>
      <w:pPr>
        <w:pStyle w:val="Heading1"/>
        <w:keepNext/>
        <w:spacing w:before="200" w:after="80"/>
      </w:pPr>
      <w:r>
        <w:rPr>
          <w:rFonts w:ascii="Calibri" w:hAnsi="Calibri" w:cs="Calibri" w:eastAsia="Calibri"/>
          <w:b/>
          <w:i w:val="0"/>
          <w:color w:val="1F3864"/>
          <w:sz w:val="29"/>
          <w:szCs w:val="29"/>
          <w:bCs/>
        </w:rPr>
        <w:t>1. Document Control</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Document ID</w:t>
            </w:r>
          </w:p>
        </w:tc>
        <w:tc>
          <w:tcPr>
            <w:tcW w:type="dxa" w:w="6520"/>
          </w:tcPr>
          <w:p>
            <w:r>
              <w:rPr>
                <w:rFonts w:ascii="Calibri" w:hAnsi="Calibri" w:cs="Calibri" w:eastAsia="Calibri"/>
                <w:b w:val="0"/>
                <w:i w:val="0"/>
                <w:sz w:val="18"/>
                <w:szCs w:val="18"/>
              </w:rPr>
              <w:t>GV-REG-007</w:t>
            </w:r>
          </w:p>
        </w:tc>
      </w:tr>
      <w:tr>
        <w:tc>
          <w:tcPr>
            <w:tcW w:type="dxa" w:w="2835"/>
            <w:shd w:val="clear" w:color="auto" w:fill="EAF0F7"/>
          </w:tcPr>
          <w:p>
            <w:r>
              <w:rPr>
                <w:rFonts w:ascii="Calibri" w:hAnsi="Calibri" w:cs="Calibri" w:eastAsia="Calibri"/>
                <w:b/>
                <w:i w:val="0"/>
                <w:sz w:val="18"/>
                <w:szCs w:val="18"/>
                <w:bCs/>
              </w:rPr>
              <w:t>Title</w:t>
            </w:r>
          </w:p>
        </w:tc>
        <w:tc>
          <w:tcPr>
            <w:tcW w:type="dxa" w:w="6520"/>
          </w:tcPr>
          <w:p>
            <w:r>
              <w:rPr>
                <w:rFonts w:ascii="Calibri" w:hAnsi="Calibri" w:cs="Calibri" w:eastAsia="Calibri"/>
                <w:b w:val="0"/>
                <w:i w:val="0"/>
                <w:sz w:val="18"/>
                <w:szCs w:val="18"/>
              </w:rPr>
              <w:t>Record of Processing Activities (ROPA)</w:t>
            </w:r>
          </w:p>
        </w:tc>
      </w:tr>
      <w:tr>
        <w:tc>
          <w:tcPr>
            <w:tcW w:type="dxa" w:w="2835"/>
            <w:shd w:val="clear" w:color="auto" w:fill="EAF0F7"/>
          </w:tcPr>
          <w:p>
            <w:r>
              <w:rPr>
                <w:rFonts w:ascii="Calibri" w:hAnsi="Calibri" w:cs="Calibri" w:eastAsia="Calibri"/>
                <w:b/>
                <w:i w:val="0"/>
                <w:sz w:val="18"/>
                <w:szCs w:val="18"/>
                <w:bCs/>
              </w:rPr>
              <w:t>Version</w:t>
            </w:r>
          </w:p>
        </w:tc>
        <w:tc>
          <w:tcPr>
            <w:tcW w:type="dxa" w:w="6520"/>
          </w:tcPr>
          <w:p>
            <w:r>
              <w:rPr>
                <w:rFonts w:ascii="Calibri" w:hAnsi="Calibri" w:cs="Calibri" w:eastAsia="Calibri"/>
                <w:b w:val="0"/>
                <w:i w:val="0"/>
                <w:sz w:val="18"/>
                <w:szCs w:val="18"/>
              </w:rPr>
              <w:t>1.1</w:t>
            </w:r>
          </w:p>
        </w:tc>
      </w:tr>
      <w:tr>
        <w:tc>
          <w:tcPr>
            <w:tcW w:type="dxa" w:w="2835"/>
            <w:shd w:val="clear" w:color="auto" w:fill="EAF0F7"/>
          </w:tcPr>
          <w:p>
            <w:r>
              <w:rPr>
                <w:rFonts w:ascii="Calibri" w:hAnsi="Calibri" w:cs="Calibri" w:eastAsia="Calibri"/>
                <w:b/>
                <w:i w:val="0"/>
                <w:sz w:val="18"/>
                <w:szCs w:val="18"/>
                <w:bCs/>
              </w:rPr>
              <w:t>Status</w:t>
            </w:r>
          </w:p>
        </w:tc>
        <w:tc>
          <w:tcPr>
            <w:tcW w:type="dxa" w:w="6520"/>
          </w:tcPr>
          <w:p>
            <w:r>
              <w:rPr>
                <w:rFonts w:ascii="Calibri" w:hAnsi="Calibri" w:cs="Calibri" w:eastAsia="Calibri"/>
                <w:b w:val="0"/>
                <w:i w:val="0"/>
                <w:sz w:val="18"/>
                <w:szCs w:val="18"/>
              </w:rPr>
              <w:t>Approved</w:t>
            </w:r>
          </w:p>
        </w:tc>
      </w:tr>
      <w:tr>
        <w:tc>
          <w:tcPr>
            <w:tcW w:type="dxa" w:w="2835"/>
            <w:shd w:val="clear" w:color="auto" w:fill="EAF0F7"/>
          </w:tcPr>
          <w:p>
            <w:r>
              <w:rPr>
                <w:rFonts w:ascii="Calibri" w:hAnsi="Calibri" w:cs="Calibri" w:eastAsia="Calibri"/>
                <w:b/>
                <w:i w:val="0"/>
                <w:sz w:val="18"/>
                <w:szCs w:val="18"/>
                <w:bCs/>
              </w:rPr>
              <w:t>Classification</w:t>
            </w:r>
          </w:p>
        </w:tc>
        <w:tc>
          <w:tcPr>
            <w:tcW w:type="dxa" w:w="6520"/>
          </w:tcPr>
          <w:p>
            <w:r>
              <w:rPr>
                <w:rFonts w:ascii="Calibri" w:hAnsi="Calibri" w:cs="Calibri" w:eastAsia="Calibri"/>
                <w:b w:val="0"/>
                <w:i w:val="0"/>
                <w:sz w:val="18"/>
                <w:szCs w:val="18"/>
              </w:rPr>
              <w:t>Internal</w:t>
            </w:r>
          </w:p>
        </w:tc>
      </w:tr>
      <w:tr>
        <w:tc>
          <w:tcPr>
            <w:tcW w:type="dxa" w:w="2835"/>
            <w:shd w:val="clear" w:color="auto" w:fill="EAF0F7"/>
          </w:tcPr>
          <w:p>
            <w:r>
              <w:rPr>
                <w:rFonts w:ascii="Calibri" w:hAnsi="Calibri" w:cs="Calibri" w:eastAsia="Calibri"/>
                <w:b/>
                <w:i w:val="0"/>
                <w:sz w:val="18"/>
                <w:szCs w:val="18"/>
                <w:bCs/>
              </w:rPr>
              <w:t>Document Owner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Approver</w:t>
            </w:r>
          </w:p>
        </w:tc>
        <w:tc>
          <w:tcPr>
            <w:tcW w:type="dxa" w:w="6520"/>
          </w:tcPr>
          <w:p>
            <w:r>
              <w:rPr>
                <w:rFonts w:ascii="Calibri" w:hAnsi="Calibri" w:cs="Calibri" w:eastAsia="Calibri"/>
                <w:b w:val="0"/>
                <w:i w:val="0"/>
                <w:sz w:val="18"/>
                <w:szCs w:val="18"/>
              </w:rPr>
              <w:t>Data Protection Officer (DPO)</w:t>
            </w:r>
          </w:p>
        </w:tc>
      </w:tr>
      <w:tr>
        <w:tc>
          <w:tcPr>
            <w:tcW w:type="dxa" w:w="2835"/>
            <w:shd w:val="clear" w:color="auto" w:fill="EAF0F7"/>
          </w:tcPr>
          <w:p>
            <w:r>
              <w:rPr>
                <w:rFonts w:ascii="Calibri" w:hAnsi="Calibri" w:cs="Calibri" w:eastAsia="Calibri"/>
                <w:b/>
                <w:i w:val="0"/>
                <w:sz w:val="18"/>
                <w:szCs w:val="18"/>
                <w:bCs/>
              </w:rPr>
              <w:t>Effective Date</w:t>
            </w:r>
          </w:p>
        </w:tc>
        <w:tc>
          <w:tcPr>
            <w:tcW w:type="dxa" w:w="6520"/>
          </w:tcPr>
          <w:p>
            <w:r>
              <w:rPr>
                <w:rFonts w:ascii="Calibri" w:hAnsi="Calibri" w:cs="Calibri" w:eastAsia="Calibri"/>
                <w:b w:val="0"/>
                <w:i w:val="0"/>
                <w:sz w:val="18"/>
                <w:szCs w:val="18"/>
              </w:rPr>
              <w:t>17 April 2026</w:t>
            </w:r>
          </w:p>
        </w:tc>
      </w:tr>
      <w:tr>
        <w:tc>
          <w:tcPr>
            <w:tcW w:type="dxa" w:w="2835"/>
            <w:shd w:val="clear" w:color="auto" w:fill="EAF0F7"/>
          </w:tcPr>
          <w:p>
            <w:r>
              <w:rPr>
                <w:rFonts w:ascii="Calibri" w:hAnsi="Calibri" w:cs="Calibri" w:eastAsia="Calibri"/>
                <w:b/>
                <w:i w:val="0"/>
                <w:sz w:val="18"/>
                <w:szCs w:val="18"/>
                <w:bCs/>
              </w:rPr>
              <w:t>Review Cycle</w:t>
            </w:r>
          </w:p>
        </w:tc>
        <w:tc>
          <w:tcPr>
            <w:tcW w:type="dxa" w:w="6520"/>
          </w:tcPr>
          <w:p>
            <w:r>
              <w:rPr>
                <w:rFonts w:ascii="Calibri" w:hAnsi="Calibri" w:cs="Calibri" w:eastAsia="Calibri"/>
                <w:b w:val="0"/>
                <w:i w:val="0"/>
                <w:sz w:val="18"/>
                <w:szCs w:val="18"/>
              </w:rPr>
              <w:t>Annual and on change</w:t>
            </w:r>
          </w:p>
        </w:tc>
      </w:tr>
      <w:tr>
        <w:tc>
          <w:tcPr>
            <w:tcW w:type="dxa" w:w="2835"/>
            <w:shd w:val="clear" w:color="auto" w:fill="EAF0F7"/>
          </w:tcPr>
          <w:p>
            <w:r>
              <w:rPr>
                <w:rFonts w:ascii="Calibri" w:hAnsi="Calibri" w:cs="Calibri" w:eastAsia="Calibri"/>
                <w:b/>
                <w:i w:val="0"/>
                <w:sz w:val="18"/>
                <w:szCs w:val="18"/>
                <w:bCs/>
              </w:rPr>
              <w:t>Next Review</w:t>
            </w:r>
          </w:p>
        </w:tc>
        <w:tc>
          <w:tcPr>
            <w:tcW w:type="dxa" w:w="6520"/>
          </w:tcPr>
          <w:p>
            <w:r>
              <w:rPr>
                <w:rFonts w:ascii="Calibri" w:hAnsi="Calibri" w:cs="Calibri" w:eastAsia="Calibri"/>
                <w:b w:val="0"/>
                <w:i w:val="0"/>
                <w:sz w:val="18"/>
                <w:szCs w:val="18"/>
              </w:rPr>
              <w:t>17 April 2027</w:t>
            </w:r>
          </w:p>
        </w:tc>
      </w:tr>
    </w:tbl>
    <w:p>
      <w:pPr>
        <w:spacing w:after="40"/>
      </w:pPr>
    </w:p>
    <w:p>
      <w:pPr>
        <w:pStyle w:val="Heading1"/>
        <w:keepNext/>
        <w:spacing w:before="200" w:after="80"/>
      </w:pPr>
      <w:r>
        <w:rPr>
          <w:rFonts w:ascii="Calibri" w:hAnsi="Calibri" w:cs="Calibri" w:eastAsia="Calibri"/>
          <w:b/>
          <w:i w:val="0"/>
          <w:color w:val="1F3864"/>
          <w:sz w:val="29"/>
          <w:szCs w:val="29"/>
          <w:bCs/>
        </w:rPr>
        <w:t>2. Document Profile</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Tier</w:t>
            </w:r>
          </w:p>
        </w:tc>
        <w:tc>
          <w:tcPr>
            <w:tcW w:type="dxa" w:w="6520"/>
          </w:tcPr>
          <w:p>
            <w:r>
              <w:rPr>
                <w:rFonts w:ascii="Calibri" w:hAnsi="Calibri" w:cs="Calibri" w:eastAsia="Calibri"/>
                <w:b w:val="0"/>
                <w:i w:val="0"/>
                <w:sz w:val="18"/>
                <w:szCs w:val="18"/>
              </w:rPr>
              <w:t>Tier 4: Form, Register, Record, Report, and Template</w:t>
            </w:r>
          </w:p>
        </w:tc>
      </w:tr>
      <w:tr>
        <w:tc>
          <w:tcPr>
            <w:tcW w:type="dxa" w:w="2835"/>
            <w:shd w:val="clear" w:color="auto" w:fill="EAF0F7"/>
          </w:tcPr>
          <w:p>
            <w:r>
              <w:rPr>
                <w:rFonts w:ascii="Calibri" w:hAnsi="Calibri" w:cs="Calibri" w:eastAsia="Calibri"/>
                <w:b/>
                <w:i w:val="0"/>
                <w:sz w:val="18"/>
                <w:szCs w:val="18"/>
                <w:bCs/>
              </w:rPr>
              <w:t>Document Type</w:t>
            </w:r>
          </w:p>
        </w:tc>
        <w:tc>
          <w:tcPr>
            <w:tcW w:type="dxa" w:w="6520"/>
          </w:tcPr>
          <w:p>
            <w:r>
              <w:rPr>
                <w:rFonts w:ascii="Calibri" w:hAnsi="Calibri" w:cs="Calibri" w:eastAsia="Calibri"/>
                <w:b w:val="0"/>
                <w:i w:val="0"/>
                <w:sz w:val="18"/>
                <w:szCs w:val="18"/>
              </w:rPr>
              <w:t>Register</w:t>
            </w:r>
          </w:p>
        </w:tc>
      </w:tr>
      <w:tr>
        <w:tc>
          <w:tcPr>
            <w:tcW w:type="dxa" w:w="2835"/>
            <w:shd w:val="clear" w:color="auto" w:fill="EAF0F7"/>
          </w:tcPr>
          <w:p>
            <w:r>
              <w:rPr>
                <w:rFonts w:ascii="Calibri" w:hAnsi="Calibri" w:cs="Calibri" w:eastAsia="Calibri"/>
                <w:b/>
                <w:i w:val="0"/>
                <w:sz w:val="18"/>
                <w:szCs w:val="18"/>
                <w:bCs/>
              </w:rPr>
              <w:t>CSF Function</w:t>
            </w:r>
          </w:p>
        </w:tc>
        <w:tc>
          <w:tcPr>
            <w:tcW w:type="dxa" w:w="6520"/>
          </w:tcPr>
          <w:p>
            <w:r>
              <w:rPr>
                <w:rFonts w:ascii="Calibri" w:hAnsi="Calibri" w:cs="Calibri" w:eastAsia="Calibri"/>
                <w:b w:val="0"/>
                <w:i w:val="0"/>
                <w:sz w:val="18"/>
                <w:szCs w:val="18"/>
              </w:rPr>
              <w:t>Govern (GV)</w:t>
            </w:r>
          </w:p>
        </w:tc>
      </w:tr>
      <w:tr>
        <w:tc>
          <w:tcPr>
            <w:tcW w:type="dxa" w:w="2835"/>
            <w:shd w:val="clear" w:color="auto" w:fill="EAF0F7"/>
          </w:tcPr>
          <w:p>
            <w:r>
              <w:rPr>
                <w:rFonts w:ascii="Calibri" w:hAnsi="Calibri" w:cs="Calibri" w:eastAsia="Calibri"/>
                <w:b/>
                <w:i w:val="0"/>
                <w:sz w:val="18"/>
                <w:szCs w:val="18"/>
                <w:bCs/>
              </w:rPr>
              <w:t>CSF Category</w:t>
            </w:r>
          </w:p>
        </w:tc>
        <w:tc>
          <w:tcPr>
            <w:tcW w:type="dxa" w:w="6520"/>
          </w:tcPr>
          <w:p>
            <w:r>
              <w:rPr>
                <w:rFonts w:ascii="Calibri" w:hAnsi="Calibri" w:cs="Calibri" w:eastAsia="Calibri"/>
                <w:b w:val="0"/>
                <w:i w:val="0"/>
                <w:sz w:val="18"/>
                <w:szCs w:val="18"/>
              </w:rPr>
              <w:t>Policy (GV.PO)</w:t>
            </w:r>
          </w:p>
        </w:tc>
      </w:tr>
      <w:tr>
        <w:tc>
          <w:tcPr>
            <w:tcW w:type="dxa" w:w="2835"/>
            <w:shd w:val="clear" w:color="auto" w:fill="EAF0F7"/>
          </w:tcPr>
          <w:p>
            <w:r>
              <w:rPr>
                <w:rFonts w:ascii="Calibri" w:hAnsi="Calibri" w:cs="Calibri" w:eastAsia="Calibri"/>
                <w:b/>
                <w:i w:val="0"/>
                <w:sz w:val="18"/>
                <w:szCs w:val="18"/>
                <w:bCs/>
              </w:rPr>
              <w:t>Level</w:t>
            </w:r>
          </w:p>
        </w:tc>
        <w:tc>
          <w:tcPr>
            <w:tcW w:type="dxa" w:w="6520"/>
          </w:tcPr>
          <w:p>
            <w:r>
              <w:rPr>
                <w:rFonts w:ascii="Calibri" w:hAnsi="Calibri" w:cs="Calibri" w:eastAsia="Calibri"/>
                <w:b w:val="0"/>
                <w:i w:val="0"/>
                <w:sz w:val="18"/>
                <w:szCs w:val="18"/>
              </w:rPr>
              <w:t>Required</w:t>
            </w:r>
          </w:p>
        </w:tc>
      </w:tr>
      <w:tr>
        <w:tc>
          <w:tcPr>
            <w:tcW w:type="dxa" w:w="2835"/>
            <w:shd w:val="clear" w:color="auto" w:fill="EAF0F7"/>
          </w:tcPr>
          <w:p>
            <w:r>
              <w:rPr>
                <w:rFonts w:ascii="Calibri" w:hAnsi="Calibri" w:cs="Calibri" w:eastAsia="Calibri"/>
                <w:b/>
                <w:i w:val="0"/>
                <w:sz w:val="18"/>
                <w:szCs w:val="18"/>
                <w:bCs/>
              </w:rPr>
              <w:t>Trigger</w:t>
            </w:r>
          </w:p>
        </w:tc>
        <w:tc>
          <w:tcPr>
            <w:tcW w:type="dxa" w:w="6520"/>
          </w:tcPr>
          <w:p>
            <w:r>
              <w:rPr>
                <w:rFonts w:ascii="Calibri" w:hAnsi="Calibri" w:cs="Calibri" w:eastAsia="Calibri"/>
                <w:b w:val="0"/>
                <w:i w:val="0"/>
                <w:sz w:val="18"/>
                <w:szCs w:val="18"/>
              </w:rPr>
              <w:t>PDPA</w:t>
            </w:r>
          </w:p>
        </w:tc>
      </w:tr>
      <w:tr>
        <w:tc>
          <w:tcPr>
            <w:tcW w:type="dxa" w:w="2835"/>
            <w:shd w:val="clear" w:color="auto" w:fill="EAF0F7"/>
          </w:tcPr>
          <w:p>
            <w:r>
              <w:rPr>
                <w:rFonts w:ascii="Calibri" w:hAnsi="Calibri" w:cs="Calibri" w:eastAsia="Calibri"/>
                <w:b/>
                <w:i w:val="0"/>
                <w:sz w:val="18"/>
                <w:szCs w:val="18"/>
                <w:bCs/>
              </w:rPr>
              <w:t>Basis</w:t>
            </w:r>
          </w:p>
        </w:tc>
        <w:tc>
          <w:tcPr>
            <w:tcW w:type="dxa" w:w="6520"/>
          </w:tcPr>
          <w:p>
            <w:r>
              <w:rPr>
                <w:rFonts w:ascii="Calibri" w:hAnsi="Calibri" w:cs="Calibri" w:eastAsia="Calibri"/>
                <w:b w:val="0"/>
                <w:i w:val="0"/>
                <w:sz w:val="18"/>
                <w:szCs w:val="18"/>
              </w:rPr>
              <w:t>PDPA s.39 (controller) and s.40 (processor)</w:t>
            </w:r>
          </w:p>
        </w:tc>
      </w:tr>
      <w:tr>
        <w:tc>
          <w:tcPr>
            <w:tcW w:type="dxa" w:w="2835"/>
            <w:shd w:val="clear" w:color="auto" w:fill="EAF0F7"/>
          </w:tcPr>
          <w:p>
            <w:r>
              <w:rPr>
                <w:rFonts w:ascii="Calibri" w:hAnsi="Calibri" w:cs="Calibri" w:eastAsia="Calibri"/>
                <w:b/>
                <w:i w:val="0"/>
                <w:sz w:val="18"/>
                <w:szCs w:val="18"/>
                <w:bCs/>
              </w:rPr>
              <w:t>ISO/IEC 27002 theme and tags</w:t>
            </w:r>
          </w:p>
        </w:tc>
        <w:tc>
          <w:tcPr>
            <w:tcW w:type="dxa" w:w="6520"/>
          </w:tcPr>
          <w:p>
            <w:r>
              <w:rPr>
                <w:rFonts w:ascii="Calibri" w:hAnsi="Calibri" w:cs="Calibri" w:eastAsia="Calibri"/>
                <w:b w:val="0"/>
                <w:i w:val="0"/>
                <w:sz w:val="18"/>
                <w:szCs w:val="18"/>
              </w:rPr>
              <w:t>Organizational (A.5); tags: Process, Legal and Regulatory, Privacy, Evidence</w:t>
            </w:r>
          </w:p>
        </w:tc>
      </w:tr>
      <w:tr>
        <w:tc>
          <w:tcPr>
            <w:tcW w:type="dxa" w:w="2835"/>
            <w:shd w:val="clear" w:color="auto" w:fill="EAF0F7"/>
          </w:tcPr>
          <w:p>
            <w:r>
              <w:rPr>
                <w:rFonts w:ascii="Calibri" w:hAnsi="Calibri" w:cs="Calibri" w:eastAsia="Calibri"/>
                <w:b/>
                <w:i w:val="0"/>
                <w:sz w:val="18"/>
                <w:szCs w:val="18"/>
                <w:bCs/>
              </w:rPr>
              <w:t>Package</w:t>
            </w:r>
          </w:p>
        </w:tc>
        <w:tc>
          <w:tcPr>
            <w:tcW w:type="dxa" w:w="6520"/>
          </w:tcPr>
          <w:p>
            <w:r>
              <w:rPr>
                <w:rFonts w:ascii="Calibri" w:hAnsi="Calibri" w:cs="Calibri" w:eastAsia="Calibri"/>
                <w:b w:val="0"/>
                <w:i w:val="0"/>
                <w:sz w:val="18"/>
                <w:szCs w:val="18"/>
              </w:rPr>
              <w:t>Essential</w:t>
            </w:r>
          </w:p>
        </w:tc>
      </w:tr>
      <w:tr>
        <w:tc>
          <w:tcPr>
            <w:tcW w:type="dxa" w:w="2835"/>
            <w:shd w:val="clear" w:color="auto" w:fill="EAF0F7"/>
          </w:tcPr>
          <w:p>
            <w:r>
              <w:rPr>
                <w:rFonts w:ascii="Calibri" w:hAnsi="Calibri" w:cs="Calibri" w:eastAsia="Calibri"/>
                <w:b/>
                <w:i w:val="0"/>
                <w:sz w:val="18"/>
                <w:szCs w:val="18"/>
                <w:bCs/>
              </w:rPr>
              <w:t>Level for CMC</w:t>
            </w:r>
          </w:p>
        </w:tc>
        <w:tc>
          <w:tcPr>
            <w:tcW w:type="dxa" w:w="6520"/>
          </w:tcPr>
          <w:p>
            <w:r>
              <w:rPr>
                <w:rFonts w:ascii="Calibri" w:hAnsi="Calibri" w:cs="Calibri" w:eastAsia="Calibri"/>
                <w:b w:val="0"/>
                <w:i w:val="0"/>
                <w:sz w:val="18"/>
                <w:szCs w:val="18"/>
              </w:rPr>
              <w:t>Required (CMC triggers: PDPA, CII, Computer Crime Act service provider; ISO/IEC 27001 certification targeted for 2027)</w:t>
            </w:r>
          </w:p>
        </w:tc>
      </w:tr>
    </w:tbl>
    <w:p>
      <w:pPr>
        <w:spacing w:after="40"/>
      </w:pPr>
    </w:p>
    <w:p>
      <w:pPr>
        <w:pStyle w:val="Heading1"/>
        <w:keepNext/>
        <w:spacing w:before="200" w:after="80"/>
      </w:pPr>
      <w:r>
        <w:rPr>
          <w:rFonts w:ascii="Calibri" w:hAnsi="Calibri" w:cs="Calibri" w:eastAsia="Calibri"/>
          <w:b/>
          <w:i w:val="0"/>
          <w:color w:val="1F3864"/>
          <w:sz w:val="29"/>
          <w:szCs w:val="29"/>
          <w:bCs/>
        </w:rPr>
        <w:t>3. Revision History</w:t>
      </w:r>
    </w:p>
    <w:tbl>
      <w:tblPr>
        <w:tblStyle w:val="TableGrid"/>
        <w:tblW w:type="auto" w:w="0"/>
        <w:jc w:val="center"/>
        <w:tblLayout w:type="fixed"/>
        <w:tblLook w:firstColumn="1" w:firstRow="1" w:lastColumn="0" w:lastRow="0" w:noHBand="0" w:noVBand="1" w:val="04A0"/>
        <w:tblLayout w:type="fixed"/>
      </w:tblPr>
      <w:tblGrid>
        <w:gridCol w:w="907"/>
        <w:gridCol w:w="1587"/>
        <w:gridCol w:w="3742"/>
        <w:gridCol w:w="1587"/>
        <w:gridCol w:w="1530"/>
      </w:tblGrid>
      <w:tr>
        <w:trPr>
          <w:tblHeader w:val="true"/>
        </w:trPr>
        <w:tc>
          <w:tcPr>
            <w:tcW w:type="dxa" w:w="907"/>
            <w:shd w:val="clear" w:color="auto" w:fill="1F3864"/>
          </w:tcPr>
          <w:p>
            <w:r/>
            <w:r>
              <w:rPr>
                <w:rFonts w:ascii="Calibri" w:hAnsi="Calibri" w:cs="Calibri" w:eastAsia="Calibri"/>
                <w:b/>
                <w:i w:val="0"/>
                <w:color w:val="FFFFFF"/>
                <w:sz w:val="18"/>
                <w:szCs w:val="18"/>
                <w:bCs/>
              </w:rPr>
              <w:t>Version</w:t>
            </w:r>
          </w:p>
        </w:tc>
        <w:tc>
          <w:tcPr>
            <w:tcW w:type="dxa" w:w="1587"/>
            <w:shd w:val="clear" w:color="auto" w:fill="1F3864"/>
          </w:tcPr>
          <w:p>
            <w:r/>
            <w:r>
              <w:rPr>
                <w:rFonts w:ascii="Calibri" w:hAnsi="Calibri" w:cs="Calibri" w:eastAsia="Calibri"/>
                <w:b/>
                <w:i w:val="0"/>
                <w:color w:val="FFFFFF"/>
                <w:sz w:val="18"/>
                <w:szCs w:val="18"/>
                <w:bCs/>
              </w:rPr>
              <w:t>Date</w:t>
            </w:r>
          </w:p>
        </w:tc>
        <w:tc>
          <w:tcPr>
            <w:tcW w:type="dxa" w:w="3742"/>
            <w:shd w:val="clear" w:color="auto" w:fill="1F3864"/>
          </w:tcPr>
          <w:p>
            <w:r/>
            <w:r>
              <w:rPr>
                <w:rFonts w:ascii="Calibri" w:hAnsi="Calibri" w:cs="Calibri" w:eastAsia="Calibri"/>
                <w:b/>
                <w:i w:val="0"/>
                <w:color w:val="FFFFFF"/>
                <w:sz w:val="18"/>
                <w:szCs w:val="18"/>
                <w:bCs/>
              </w:rPr>
              <w:t>Description of Change</w:t>
            </w:r>
          </w:p>
        </w:tc>
        <w:tc>
          <w:tcPr>
            <w:tcW w:type="dxa" w:w="1587"/>
            <w:shd w:val="clear" w:color="auto" w:fill="1F3864"/>
          </w:tcPr>
          <w:p>
            <w:r/>
            <w:r>
              <w:rPr>
                <w:rFonts w:ascii="Calibri" w:hAnsi="Calibri" w:cs="Calibri" w:eastAsia="Calibri"/>
                <w:b/>
                <w:i w:val="0"/>
                <w:color w:val="FFFFFF"/>
                <w:sz w:val="18"/>
                <w:szCs w:val="18"/>
                <w:bCs/>
              </w:rPr>
              <w:t>Prepared By</w:t>
            </w:r>
          </w:p>
        </w:tc>
        <w:tc>
          <w:tcPr>
            <w:tcW w:type="dxa" w:w="1531"/>
            <w:shd w:val="clear" w:color="auto" w:fill="1F3864"/>
          </w:tcPr>
          <w:p>
            <w:r/>
            <w:r>
              <w:rPr>
                <w:rFonts w:ascii="Calibri" w:hAnsi="Calibri" w:cs="Calibri" w:eastAsia="Calibri"/>
                <w:b/>
                <w:i w:val="0"/>
                <w:color w:val="FFFFFF"/>
                <w:sz w:val="18"/>
                <w:szCs w:val="18"/>
                <w:bCs/>
              </w:rPr>
              <w:t>Approved By</w:t>
            </w:r>
          </w:p>
        </w:tc>
      </w:tr>
      <w:tr>
        <w:tc>
          <w:tcPr>
            <w:tcW w:type="dxa" w:w="907"/>
          </w:tcPr>
          <w:p>
            <w:r/>
            <w:r>
              <w:rPr>
                <w:rFonts w:ascii="Calibri" w:hAnsi="Calibri" w:cs="Calibri" w:eastAsia="Calibri"/>
                <w:b w:val="0"/>
                <w:i w:val="0"/>
                <w:sz w:val="18"/>
                <w:szCs w:val="18"/>
              </w:rPr>
              <w:t>1.0</w:t>
            </w:r>
          </w:p>
        </w:tc>
        <w:tc>
          <w:tcPr>
            <w:tcW w:type="dxa" w:w="1587"/>
          </w:tcPr>
          <w:p>
            <w:r/>
            <w:r>
              <w:rPr>
                <w:rFonts w:ascii="Calibri" w:hAnsi="Calibri" w:cs="Calibri" w:eastAsia="Calibri"/>
                <w:b w:val="0"/>
                <w:i w:val="0"/>
                <w:sz w:val="18"/>
                <w:szCs w:val="18"/>
              </w:rPr>
              <w:t>21 July 2025</w:t>
            </w:r>
          </w:p>
        </w:tc>
        <w:tc>
          <w:tcPr>
            <w:tcW w:type="dxa" w:w="3742"/>
          </w:tcPr>
          <w:p>
            <w:r/>
            <w:r>
              <w:rPr>
                <w:rFonts w:ascii="Calibri" w:hAnsi="Calibri" w:cs="Calibri" w:eastAsia="Calibri"/>
                <w:b w:val="0"/>
                <w:i w:val="0"/>
                <w:sz w:val="18"/>
                <w:szCs w:val="18"/>
              </w:rPr>
              <w:t>Initial release under the CMC security program launched in January 2025.</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r>
        <w:tc>
          <w:tcPr>
            <w:tcW w:type="dxa" w:w="907"/>
          </w:tcPr>
          <w:p>
            <w:r/>
            <w:r>
              <w:rPr>
                <w:rFonts w:ascii="Calibri" w:hAnsi="Calibri" w:cs="Calibri" w:eastAsia="Calibri"/>
                <w:b w:val="0"/>
                <w:i w:val="0"/>
                <w:sz w:val="18"/>
                <w:szCs w:val="18"/>
              </w:rPr>
              <w:t>1.1</w:t>
            </w:r>
          </w:p>
        </w:tc>
        <w:tc>
          <w:tcPr>
            <w:tcW w:type="dxa" w:w="1587"/>
          </w:tcPr>
          <w:p>
            <w:r/>
            <w:r>
              <w:rPr>
                <w:rFonts w:ascii="Calibri" w:hAnsi="Calibri" w:cs="Calibri" w:eastAsia="Calibri"/>
                <w:b w:val="0"/>
                <w:i w:val="0"/>
                <w:sz w:val="18"/>
                <w:szCs w:val="18"/>
              </w:rPr>
              <w:t>17 April 2026</w:t>
            </w:r>
          </w:p>
        </w:tc>
        <w:tc>
          <w:tcPr>
            <w:tcW w:type="dxa" w:w="3742"/>
          </w:tcPr>
          <w:p>
            <w:r/>
            <w:r>
              <w:rPr>
                <w:rFonts w:ascii="Calibri" w:hAnsi="Calibri" w:cs="Calibri" w:eastAsia="Calibri"/>
                <w:b w:val="0"/>
                <w:i w:val="0"/>
                <w:sz w:val="18"/>
                <w:szCs w:val="18"/>
              </w:rPr>
              <w:t>Updated after the 2026 Management Review (MR-2026-01) to reflect the revised budget and ISSC decisions.</w:t>
            </w:r>
          </w:p>
        </w:tc>
        <w:tc>
          <w:tcPr>
            <w:tcW w:type="dxa" w:w="1587"/>
          </w:tcPr>
          <w:p>
            <w:r/>
            <w:r>
              <w:rPr>
                <w:rFonts w:ascii="Calibri" w:hAnsi="Calibri" w:cs="Calibri" w:eastAsia="Calibri"/>
                <w:b w:val="0"/>
                <w:i w:val="0"/>
                <w:sz w:val="18"/>
                <w:szCs w:val="18"/>
              </w:rPr>
              <w:t>Data Protection Officer (DPO)</w:t>
            </w:r>
          </w:p>
        </w:tc>
        <w:tc>
          <w:tcPr>
            <w:tcW w:type="dxa" w:w="1531"/>
          </w:tcPr>
          <w:p>
            <w:r/>
            <w:r>
              <w:rPr>
                <w:rFonts w:ascii="Calibri" w:hAnsi="Calibri" w:cs="Calibri" w:eastAsia="Calibri"/>
                <w:b w:val="0"/>
                <w:i w:val="0"/>
                <w:sz w:val="18"/>
                <w:szCs w:val="18"/>
              </w:rPr>
              <w:t>Data Protection Officer (DPO)</w:t>
            </w:r>
          </w:p>
        </w:tc>
      </w:tr>
    </w:tbl>
    <w:p>
      <w:pPr>
        <w:spacing w:after="40"/>
      </w:pPr>
    </w:p>
    <w:p>
      <w:pPr>
        <w:pStyle w:val="Heading1"/>
        <w:keepNext/>
        <w:spacing w:before="200" w:after="80"/>
      </w:pPr>
      <w:r>
        <w:rPr>
          <w:rFonts w:ascii="Calibri" w:hAnsi="Calibri" w:cs="Calibri" w:eastAsia="Calibri"/>
          <w:b/>
          <w:i w:val="0"/>
          <w:color w:val="1F3864"/>
          <w:sz w:val="29"/>
          <w:szCs w:val="29"/>
          <w:bCs/>
        </w:rPr>
        <w:t>4. Part A: Requirement Fields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F2F2F2"/>
          </w:tcPr>
          <w:p>
            <w:r>
              <w:rPr>
                <w:rFonts w:ascii="Calibri" w:hAnsi="Calibri" w:cs="Calibri" w:eastAsia="Calibri"/>
                <w:b/>
                <w:i w:val="0"/>
                <w:color w:val="1F3864"/>
                <w:sz w:val="18"/>
                <w:szCs w:val="18"/>
                <w:bCs/>
              </w:rPr>
              <w:t xml:space="preserve">CMC context: </w:t>
            </w:r>
            <w:r>
              <w:rPr>
                <w:rFonts w:ascii="Calibri" w:hAnsi="Calibri" w:cs="Calibri" w:eastAsia="Calibri"/>
                <w:b w:val="0"/>
                <w:i w:val="0"/>
                <w:sz w:val="18"/>
                <w:szCs w:val="18"/>
              </w:rPr>
              <w:t>CMC's ROPA lists 46 processing activities across 18 departments. The excerpt shows four representative entries. The DPO reviews each entry with its department head once a year.</w:t>
            </w:r>
          </w:p>
        </w:tc>
      </w:tr>
    </w:tbl>
    <w:p>
      <w:pPr>
        <w:spacing w:after="0"/>
      </w:pPr>
    </w:p>
    <w:p>
      <w:pPr>
        <w:pStyle w:val="Heading2"/>
        <w:keepNext/>
        <w:spacing w:before="120" w:after="80"/>
      </w:pPr>
      <w:r>
        <w:rPr>
          <w:rFonts w:ascii="Calibri" w:hAnsi="Calibri" w:cs="Calibri" w:eastAsia="Calibri"/>
          <w:b/>
          <w:i w:val="0"/>
          <w:color w:val="1F3864"/>
          <w:sz w:val="24"/>
          <w:szCs w:val="24"/>
          <w:bCs/>
        </w:rPr>
        <w:t>4.1 Purpose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State why the document exists and the outcome it supports.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The Record of Processing Activities (ROPA) records each personal data processing activity, its purpose, lawful basis, data categories, retention, recipients, and security measures, as required by PDPA s.39.</w:t>
      </w:r>
    </w:p>
    <w:p>
      <w:pPr>
        <w:pStyle w:val="Heading2"/>
        <w:keepNext/>
        <w:spacing w:before="120" w:after="80"/>
      </w:pPr>
      <w:r>
        <w:rPr>
          <w:rFonts w:ascii="Calibri" w:hAnsi="Calibri" w:cs="Calibri" w:eastAsia="Calibri"/>
          <w:b/>
          <w:i w:val="0"/>
          <w:color w:val="1F3864"/>
          <w:sz w:val="24"/>
          <w:szCs w:val="24"/>
          <w:bCs/>
        </w:rPr>
        <w:t>4.2 Scope</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the units, people, systems, locations, and third parties covered, and state any exclusions.</w:t>
            </w:r>
          </w:p>
        </w:tc>
      </w:tr>
    </w:tbl>
    <w:p>
      <w:pPr>
        <w:spacing w:after="0"/>
      </w:pPr>
    </w:p>
    <w:p>
      <w:pPr>
        <w:spacing w:after="40" w:before="0"/>
      </w:pPr>
      <w:r>
        <w:rPr>
          <w:rFonts w:ascii="Calibri" w:hAnsi="Calibri" w:cs="Calibri" w:eastAsia="Calibri"/>
          <w:b w:val="0"/>
          <w:i/>
          <w:color w:val="595959"/>
          <w:sz w:val="18"/>
          <w:szCs w:val="18"/>
        </w:rPr>
        <w:t>Sample content</w:t>
      </w:r>
    </w:p>
    <w:p>
      <w:pPr>
        <w:spacing w:after="80" w:before="0"/>
      </w:pPr>
      <w:r>
        <w:rPr>
          <w:rFonts w:ascii="Calibri" w:hAnsi="Calibri" w:cs="Calibri" w:eastAsia="Calibri"/>
          <w:b w:val="0"/>
          <w:i w:val="0"/>
          <w:sz w:val="21"/>
          <w:szCs w:val="21"/>
        </w:rPr>
        <w:t>This register is used by the units and roles named in its parent document (GV-POL-004) and covers the activities that document defines.</w:t>
      </w:r>
    </w:p>
    <w:p>
      <w:pPr>
        <w:pStyle w:val="Heading2"/>
        <w:keepNext/>
        <w:spacing w:before="120" w:after="80"/>
      </w:pPr>
      <w:r>
        <w:rPr>
          <w:rFonts w:ascii="Calibri" w:hAnsi="Calibri" w:cs="Calibri" w:eastAsia="Calibri"/>
          <w:b/>
          <w:i w:val="0"/>
          <w:color w:val="1F3864"/>
          <w:sz w:val="24"/>
          <w:szCs w:val="24"/>
          <w:bCs/>
        </w:rPr>
        <w:t>4.3 Column Definitions</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Define every column, its meaning, and allowed values so entries stay consistent and comparable.</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2268"/>
        <w:gridCol w:w="4536"/>
        <w:gridCol w:w="2551"/>
      </w:tblGrid>
      <w:tr>
        <w:trPr>
          <w:tblHeader w:val="true"/>
        </w:trPr>
        <w:tc>
          <w:tcPr>
            <w:tcW w:type="dxa" w:w="2268"/>
            <w:shd w:val="clear" w:color="auto" w:fill="1F3864"/>
          </w:tcPr>
          <w:p>
            <w:r/>
            <w:r>
              <w:rPr>
                <w:rFonts w:ascii="Calibri" w:hAnsi="Calibri" w:cs="Calibri" w:eastAsia="Calibri"/>
                <w:b/>
                <w:i w:val="0"/>
                <w:color w:val="FFFFFF"/>
                <w:sz w:val="18"/>
                <w:szCs w:val="18"/>
                <w:bCs/>
              </w:rPr>
              <w:t>Column</w:t>
            </w:r>
          </w:p>
        </w:tc>
        <w:tc>
          <w:tcPr>
            <w:tcW w:type="dxa" w:w="4535"/>
            <w:shd w:val="clear" w:color="auto" w:fill="1F3864"/>
          </w:tcPr>
          <w:p>
            <w:r/>
            <w:r>
              <w:rPr>
                <w:rFonts w:ascii="Calibri" w:hAnsi="Calibri" w:cs="Calibri" w:eastAsia="Calibri"/>
                <w:b/>
                <w:i w:val="0"/>
                <w:color w:val="FFFFFF"/>
                <w:sz w:val="18"/>
                <w:szCs w:val="18"/>
                <w:bCs/>
              </w:rPr>
              <w:t>Description</w:t>
            </w:r>
          </w:p>
        </w:tc>
        <w:tc>
          <w:tcPr>
            <w:tcW w:type="dxa" w:w="2551"/>
            <w:shd w:val="clear" w:color="auto" w:fill="1F3864"/>
          </w:tcPr>
          <w:p>
            <w:r/>
            <w:r>
              <w:rPr>
                <w:rFonts w:ascii="Calibri" w:hAnsi="Calibri" w:cs="Calibri" w:eastAsia="Calibri"/>
                <w:b/>
                <w:i w:val="0"/>
                <w:color w:val="FFFFFF"/>
                <w:sz w:val="18"/>
                <w:szCs w:val="18"/>
                <w:bCs/>
              </w:rPr>
              <w:t>Example</w:t>
            </w:r>
          </w:p>
        </w:tc>
      </w:tr>
      <w:tr>
        <w:tc>
          <w:tcPr>
            <w:tcW w:type="dxa" w:w="2268"/>
          </w:tcPr>
          <w:p>
            <w:r/>
            <w:r>
              <w:rPr>
                <w:rFonts w:ascii="Calibri" w:hAnsi="Calibri" w:cs="Calibri" w:eastAsia="Calibri"/>
                <w:b w:val="0"/>
                <w:i w:val="0"/>
                <w:sz w:val="18"/>
                <w:szCs w:val="18"/>
              </w:rPr>
              <w:t>Activity ID</w:t>
            </w:r>
          </w:p>
        </w:tc>
        <w:tc>
          <w:tcPr>
            <w:tcW w:type="dxa" w:w="4535"/>
          </w:tcPr>
          <w:p>
            <w:r/>
            <w:r>
              <w:rPr>
                <w:rFonts w:ascii="Calibri" w:hAnsi="Calibri" w:cs="Calibri" w:eastAsia="Calibri"/>
                <w:b w:val="0"/>
                <w:i w:val="0"/>
                <w:sz w:val="18"/>
                <w:szCs w:val="18"/>
              </w:rPr>
              <w:t>Unique reference.</w:t>
            </w:r>
          </w:p>
        </w:tc>
        <w:tc>
          <w:tcPr>
            <w:tcW w:type="dxa" w:w="2551"/>
          </w:tcPr>
          <w:p>
            <w:r/>
            <w:r>
              <w:rPr>
                <w:rFonts w:ascii="Calibri" w:hAnsi="Calibri" w:cs="Calibri" w:eastAsia="Calibri"/>
                <w:b w:val="0"/>
                <w:i w:val="0"/>
                <w:sz w:val="18"/>
                <w:szCs w:val="18"/>
              </w:rPr>
              <w:t>ROPA-HR-01</w:t>
            </w:r>
          </w:p>
        </w:tc>
      </w:tr>
      <w:tr>
        <w:tc>
          <w:tcPr>
            <w:tcW w:type="dxa" w:w="2268"/>
          </w:tcPr>
          <w:p>
            <w:r/>
            <w:r>
              <w:rPr>
                <w:rFonts w:ascii="Calibri" w:hAnsi="Calibri" w:cs="Calibri" w:eastAsia="Calibri"/>
                <w:b w:val="0"/>
                <w:i w:val="0"/>
                <w:sz w:val="18"/>
                <w:szCs w:val="18"/>
              </w:rPr>
              <w:t>Processing activity and owner</w:t>
            </w:r>
          </w:p>
        </w:tc>
        <w:tc>
          <w:tcPr>
            <w:tcW w:type="dxa" w:w="4535"/>
          </w:tcPr>
          <w:p>
            <w:r/>
            <w:r>
              <w:rPr>
                <w:rFonts w:ascii="Calibri" w:hAnsi="Calibri" w:cs="Calibri" w:eastAsia="Calibri"/>
                <w:b w:val="0"/>
                <w:i w:val="0"/>
                <w:sz w:val="18"/>
                <w:szCs w:val="18"/>
              </w:rPr>
              <w:t>Name of the activity and responsible department.</w:t>
            </w:r>
          </w:p>
        </w:tc>
        <w:tc>
          <w:tcPr>
            <w:tcW w:type="dxa" w:w="2551"/>
          </w:tcPr>
          <w:p>
            <w:r/>
            <w:r>
              <w:rPr>
                <w:rFonts w:ascii="Calibri" w:hAnsi="Calibri" w:cs="Calibri" w:eastAsia="Calibri"/>
                <w:b w:val="0"/>
                <w:i w:val="0"/>
                <w:sz w:val="18"/>
                <w:szCs w:val="18"/>
              </w:rPr>
              <w:t>Payroll, HR</w:t>
            </w:r>
          </w:p>
        </w:tc>
      </w:tr>
      <w:tr>
        <w:tc>
          <w:tcPr>
            <w:tcW w:type="dxa" w:w="2268"/>
          </w:tcPr>
          <w:p>
            <w:r/>
            <w:r>
              <w:rPr>
                <w:rFonts w:ascii="Calibri" w:hAnsi="Calibri" w:cs="Calibri" w:eastAsia="Calibri"/>
                <w:b w:val="0"/>
                <w:i w:val="0"/>
                <w:sz w:val="18"/>
                <w:szCs w:val="18"/>
              </w:rPr>
              <w:t>Purpose</w:t>
            </w:r>
          </w:p>
        </w:tc>
        <w:tc>
          <w:tcPr>
            <w:tcW w:type="dxa" w:w="4535"/>
          </w:tcPr>
          <w:p>
            <w:r/>
            <w:r>
              <w:rPr>
                <w:rFonts w:ascii="Calibri" w:hAnsi="Calibri" w:cs="Calibri" w:eastAsia="Calibri"/>
                <w:b w:val="0"/>
                <w:i w:val="0"/>
                <w:sz w:val="18"/>
                <w:szCs w:val="18"/>
              </w:rPr>
              <w:t>Why the data is processed.</w:t>
            </w:r>
          </w:p>
        </w:tc>
        <w:tc>
          <w:tcPr>
            <w:tcW w:type="dxa" w:w="2551"/>
          </w:tcPr>
          <w:p>
            <w:r/>
          </w:p>
        </w:tc>
      </w:tr>
      <w:tr>
        <w:tc>
          <w:tcPr>
            <w:tcW w:type="dxa" w:w="2268"/>
          </w:tcPr>
          <w:p>
            <w:r/>
            <w:r>
              <w:rPr>
                <w:rFonts w:ascii="Calibri" w:hAnsi="Calibri" w:cs="Calibri" w:eastAsia="Calibri"/>
                <w:b w:val="0"/>
                <w:i w:val="0"/>
                <w:sz w:val="18"/>
                <w:szCs w:val="18"/>
              </w:rPr>
              <w:t>Data subjects and data categories</w:t>
            </w:r>
          </w:p>
        </w:tc>
        <w:tc>
          <w:tcPr>
            <w:tcW w:type="dxa" w:w="4535"/>
          </w:tcPr>
          <w:p>
            <w:r/>
            <w:r>
              <w:rPr>
                <w:rFonts w:ascii="Calibri" w:hAnsi="Calibri" w:cs="Calibri" w:eastAsia="Calibri"/>
                <w:b w:val="0"/>
                <w:i w:val="0"/>
                <w:sz w:val="18"/>
                <w:szCs w:val="18"/>
              </w:rPr>
              <w:t>Who and what data, marking sensitive data under PDPA s.26.</w:t>
            </w:r>
          </w:p>
        </w:tc>
        <w:tc>
          <w:tcPr>
            <w:tcW w:type="dxa" w:w="2551"/>
          </w:tcPr>
          <w:p>
            <w:r/>
          </w:p>
        </w:tc>
      </w:tr>
      <w:tr>
        <w:tc>
          <w:tcPr>
            <w:tcW w:type="dxa" w:w="2268"/>
          </w:tcPr>
          <w:p>
            <w:r/>
            <w:r>
              <w:rPr>
                <w:rFonts w:ascii="Calibri" w:hAnsi="Calibri" w:cs="Calibri" w:eastAsia="Calibri"/>
                <w:b w:val="0"/>
                <w:i w:val="0"/>
                <w:sz w:val="18"/>
                <w:szCs w:val="18"/>
              </w:rPr>
              <w:t>Lawful basis</w:t>
            </w:r>
          </w:p>
        </w:tc>
        <w:tc>
          <w:tcPr>
            <w:tcW w:type="dxa" w:w="4535"/>
          </w:tcPr>
          <w:p>
            <w:r/>
            <w:r>
              <w:rPr>
                <w:rFonts w:ascii="Calibri" w:hAnsi="Calibri" w:cs="Calibri" w:eastAsia="Calibri"/>
                <w:b w:val="0"/>
                <w:i w:val="0"/>
                <w:sz w:val="18"/>
                <w:szCs w:val="18"/>
              </w:rPr>
              <w:t>PDPA s.24 or s.26 basis.</w:t>
            </w:r>
          </w:p>
        </w:tc>
        <w:tc>
          <w:tcPr>
            <w:tcW w:type="dxa" w:w="2551"/>
          </w:tcPr>
          <w:p>
            <w:r/>
            <w:r>
              <w:rPr>
                <w:rFonts w:ascii="Calibri" w:hAnsi="Calibri" w:cs="Calibri" w:eastAsia="Calibri"/>
                <w:b w:val="0"/>
                <w:i w:val="0"/>
                <w:sz w:val="18"/>
                <w:szCs w:val="18"/>
              </w:rPr>
              <w:t>Contract (s.24(3))</w:t>
            </w:r>
          </w:p>
        </w:tc>
      </w:tr>
      <w:tr>
        <w:tc>
          <w:tcPr>
            <w:tcW w:type="dxa" w:w="2268"/>
          </w:tcPr>
          <w:p>
            <w:r/>
            <w:r>
              <w:rPr>
                <w:rFonts w:ascii="Calibri" w:hAnsi="Calibri" w:cs="Calibri" w:eastAsia="Calibri"/>
                <w:b w:val="0"/>
                <w:i w:val="0"/>
                <w:sz w:val="18"/>
                <w:szCs w:val="18"/>
              </w:rPr>
              <w:t>Source</w:t>
            </w:r>
          </w:p>
        </w:tc>
        <w:tc>
          <w:tcPr>
            <w:tcW w:type="dxa" w:w="4535"/>
          </w:tcPr>
          <w:p>
            <w:r/>
            <w:r>
              <w:rPr>
                <w:rFonts w:ascii="Calibri" w:hAnsi="Calibri" w:cs="Calibri" w:eastAsia="Calibri"/>
                <w:b w:val="0"/>
                <w:i w:val="0"/>
                <w:sz w:val="18"/>
                <w:szCs w:val="18"/>
              </w:rPr>
              <w:t>Direct from data subject or third party.</w:t>
            </w:r>
          </w:p>
        </w:tc>
        <w:tc>
          <w:tcPr>
            <w:tcW w:type="dxa" w:w="2551"/>
          </w:tcPr>
          <w:p>
            <w:r/>
          </w:p>
        </w:tc>
      </w:tr>
      <w:tr>
        <w:tc>
          <w:tcPr>
            <w:tcW w:type="dxa" w:w="2268"/>
          </w:tcPr>
          <w:p>
            <w:r/>
            <w:r>
              <w:rPr>
                <w:rFonts w:ascii="Calibri" w:hAnsi="Calibri" w:cs="Calibri" w:eastAsia="Calibri"/>
                <w:b w:val="0"/>
                <w:i w:val="0"/>
                <w:sz w:val="18"/>
                <w:szCs w:val="18"/>
              </w:rPr>
              <w:t>Recipients and transfers</w:t>
            </w:r>
          </w:p>
        </w:tc>
        <w:tc>
          <w:tcPr>
            <w:tcW w:type="dxa" w:w="4535"/>
          </w:tcPr>
          <w:p>
            <w:r/>
            <w:r>
              <w:rPr>
                <w:rFonts w:ascii="Calibri" w:hAnsi="Calibri" w:cs="Calibri" w:eastAsia="Calibri"/>
                <w:b w:val="0"/>
                <w:i w:val="0"/>
                <w:sz w:val="18"/>
                <w:szCs w:val="18"/>
              </w:rPr>
              <w:t>Internal and external recipients, cross-border transfers.</w:t>
            </w:r>
          </w:p>
        </w:tc>
        <w:tc>
          <w:tcPr>
            <w:tcW w:type="dxa" w:w="2551"/>
          </w:tcPr>
          <w:p>
            <w:r/>
          </w:p>
        </w:tc>
      </w:tr>
      <w:tr>
        <w:tc>
          <w:tcPr>
            <w:tcW w:type="dxa" w:w="2268"/>
          </w:tcPr>
          <w:p>
            <w:r/>
            <w:r>
              <w:rPr>
                <w:rFonts w:ascii="Calibri" w:hAnsi="Calibri" w:cs="Calibri" w:eastAsia="Calibri"/>
                <w:b w:val="0"/>
                <w:i w:val="0"/>
                <w:sz w:val="18"/>
                <w:szCs w:val="18"/>
              </w:rPr>
              <w:t>Retention period</w:t>
            </w:r>
          </w:p>
        </w:tc>
        <w:tc>
          <w:tcPr>
            <w:tcW w:type="dxa" w:w="4535"/>
          </w:tcPr>
          <w:p>
            <w:r/>
            <w:r>
              <w:rPr>
                <w:rFonts w:ascii="Calibri" w:hAnsi="Calibri" w:cs="Calibri" w:eastAsia="Calibri"/>
                <w:b w:val="0"/>
                <w:i w:val="0"/>
                <w:sz w:val="18"/>
                <w:szCs w:val="18"/>
              </w:rPr>
              <w:t>Period and trigger.</w:t>
            </w:r>
          </w:p>
        </w:tc>
        <w:tc>
          <w:tcPr>
            <w:tcW w:type="dxa" w:w="2551"/>
          </w:tcPr>
          <w:p>
            <w:r/>
          </w:p>
        </w:tc>
      </w:tr>
      <w:tr>
        <w:tc>
          <w:tcPr>
            <w:tcW w:type="dxa" w:w="2268"/>
          </w:tcPr>
          <w:p>
            <w:r/>
            <w:r>
              <w:rPr>
                <w:rFonts w:ascii="Calibri" w:hAnsi="Calibri" w:cs="Calibri" w:eastAsia="Calibri"/>
                <w:b w:val="0"/>
                <w:i w:val="0"/>
                <w:sz w:val="18"/>
                <w:szCs w:val="18"/>
              </w:rPr>
              <w:t>Systems</w:t>
            </w:r>
          </w:p>
        </w:tc>
        <w:tc>
          <w:tcPr>
            <w:tcW w:type="dxa" w:w="4535"/>
          </w:tcPr>
          <w:p>
            <w:r/>
            <w:r>
              <w:rPr>
                <w:rFonts w:ascii="Calibri" w:hAnsi="Calibri" w:cs="Calibri" w:eastAsia="Calibri"/>
                <w:b w:val="0"/>
                <w:i w:val="0"/>
                <w:sz w:val="18"/>
                <w:szCs w:val="18"/>
              </w:rPr>
              <w:t>Systems storing the data.</w:t>
            </w:r>
          </w:p>
        </w:tc>
        <w:tc>
          <w:tcPr>
            <w:tcW w:type="dxa" w:w="2551"/>
          </w:tcPr>
          <w:p>
            <w:r/>
          </w:p>
        </w:tc>
      </w:tr>
      <w:tr>
        <w:tc>
          <w:tcPr>
            <w:tcW w:type="dxa" w:w="2268"/>
          </w:tcPr>
          <w:p>
            <w:r/>
            <w:r>
              <w:rPr>
                <w:rFonts w:ascii="Calibri" w:hAnsi="Calibri" w:cs="Calibri" w:eastAsia="Calibri"/>
                <w:b w:val="0"/>
                <w:i w:val="0"/>
                <w:sz w:val="18"/>
                <w:szCs w:val="18"/>
              </w:rPr>
              <w:t>Security measures</w:t>
            </w:r>
          </w:p>
        </w:tc>
        <w:tc>
          <w:tcPr>
            <w:tcW w:type="dxa" w:w="4535"/>
          </w:tcPr>
          <w:p>
            <w:r/>
            <w:r>
              <w:rPr>
                <w:rFonts w:ascii="Calibri" w:hAnsi="Calibri" w:cs="Calibri" w:eastAsia="Calibri"/>
                <w:b w:val="0"/>
                <w:i w:val="0"/>
                <w:sz w:val="18"/>
                <w:szCs w:val="18"/>
              </w:rPr>
              <w:t>Key controls (PDPA s.39(8)).</w:t>
            </w:r>
          </w:p>
        </w:tc>
        <w:tc>
          <w:tcPr>
            <w:tcW w:type="dxa" w:w="2551"/>
          </w:tcPr>
          <w:p>
            <w:r/>
          </w:p>
        </w:tc>
      </w:tr>
      <w:tr>
        <w:tc>
          <w:tcPr>
            <w:tcW w:type="dxa" w:w="2268"/>
          </w:tcPr>
          <w:p>
            <w:r/>
            <w:r>
              <w:rPr>
                <w:rFonts w:ascii="Calibri" w:hAnsi="Calibri" w:cs="Calibri" w:eastAsia="Calibri"/>
                <w:b w:val="0"/>
                <w:i w:val="0"/>
                <w:sz w:val="18"/>
                <w:szCs w:val="18"/>
              </w:rPr>
              <w:t>Rights requests refused (if any)</w:t>
            </w:r>
          </w:p>
        </w:tc>
        <w:tc>
          <w:tcPr>
            <w:tcW w:type="dxa" w:w="4535"/>
          </w:tcPr>
          <w:p>
            <w:r/>
            <w:r>
              <w:rPr>
                <w:rFonts w:ascii="Calibri" w:hAnsi="Calibri" w:cs="Calibri" w:eastAsia="Calibri"/>
                <w:b w:val="0"/>
                <w:i w:val="0"/>
                <w:sz w:val="18"/>
                <w:szCs w:val="18"/>
              </w:rPr>
              <w:t>Record refusals and reasons (PDPA s.39(7)).</w:t>
            </w:r>
          </w:p>
        </w:tc>
        <w:tc>
          <w:tcPr>
            <w:tcW w:type="dxa" w:w="2551"/>
          </w:tcPr>
          <w:p>
            <w:r/>
          </w:p>
        </w:tc>
      </w:tr>
    </w:tbl>
    <w:p>
      <w:pPr>
        <w:spacing w:after="40"/>
      </w:pPr>
    </w:p>
    <w:p>
      <w:pPr>
        <w:sectPr>
          <w:headerReference w:type="default" r:id="rId9"/>
          <w:footerReference w:type="default" r:id="rId10"/>
          <w:pgSz w:w="11906" w:h="16838"/>
          <w:pgMar w:top="1134" w:right="1247" w:bottom="1020" w:left="1247"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4.4 Sample Entries</w:t>
      </w:r>
    </w:p>
    <w:tbl>
      <w:tblPr>
        <w:tblStyle w:val="TableGrid"/>
        <w:tblW w:type="auto" w:w="0"/>
        <w:jc w:val="center"/>
        <w:tblLayout w:type="fixed"/>
        <w:tblLook w:firstColumn="1" w:firstRow="1" w:lastColumn="0" w:lastRow="0" w:noHBand="0" w:noVBand="1" w:val="04A0"/>
        <w:tblLayout w:type="fixed"/>
      </w:tblPr>
      <w:tblGrid>
        <w:gridCol w:w="1376"/>
        <w:gridCol w:w="1376"/>
        <w:gridCol w:w="1376"/>
        <w:gridCol w:w="1376"/>
        <w:gridCol w:w="1376"/>
        <w:gridCol w:w="1376"/>
        <w:gridCol w:w="1376"/>
        <w:gridCol w:w="1376"/>
        <w:gridCol w:w="1376"/>
        <w:gridCol w:w="1376"/>
        <w:gridCol w:w="1376"/>
      </w:tblGrid>
      <w:tr>
        <w:trPr>
          <w:tblHeader w:val="true"/>
        </w:trPr>
        <w:tc>
          <w:tcPr>
            <w:tcW w:type="dxa" w:w="1376"/>
            <w:shd w:val="clear" w:color="auto" w:fill="1F3864"/>
          </w:tcPr>
          <w:p>
            <w:r/>
            <w:r>
              <w:rPr>
                <w:rFonts w:ascii="Calibri" w:hAnsi="Calibri" w:cs="Calibri" w:eastAsia="Calibri"/>
                <w:b/>
                <w:i w:val="0"/>
                <w:color w:val="FFFFFF"/>
                <w:sz w:val="16"/>
                <w:szCs w:val="16"/>
                <w:bCs/>
              </w:rPr>
              <w:t>Activity ID</w:t>
            </w:r>
          </w:p>
        </w:tc>
        <w:tc>
          <w:tcPr>
            <w:tcW w:type="dxa" w:w="1376"/>
            <w:shd w:val="clear" w:color="auto" w:fill="1F3864"/>
          </w:tcPr>
          <w:p>
            <w:r/>
            <w:r>
              <w:rPr>
                <w:rFonts w:ascii="Calibri" w:hAnsi="Calibri" w:cs="Calibri" w:eastAsia="Calibri"/>
                <w:b/>
                <w:i w:val="0"/>
                <w:color w:val="FFFFFF"/>
                <w:sz w:val="16"/>
                <w:szCs w:val="16"/>
                <w:bCs/>
              </w:rPr>
              <w:t>Processing activity and owner</w:t>
            </w:r>
          </w:p>
        </w:tc>
        <w:tc>
          <w:tcPr>
            <w:tcW w:type="dxa" w:w="1376"/>
            <w:shd w:val="clear" w:color="auto" w:fill="1F3864"/>
          </w:tcPr>
          <w:p>
            <w:r/>
            <w:r>
              <w:rPr>
                <w:rFonts w:ascii="Calibri" w:hAnsi="Calibri" w:cs="Calibri" w:eastAsia="Calibri"/>
                <w:b/>
                <w:i w:val="0"/>
                <w:color w:val="FFFFFF"/>
                <w:sz w:val="16"/>
                <w:szCs w:val="16"/>
                <w:bCs/>
              </w:rPr>
              <w:t>Purpose</w:t>
            </w:r>
          </w:p>
        </w:tc>
        <w:tc>
          <w:tcPr>
            <w:tcW w:type="dxa" w:w="1376"/>
            <w:shd w:val="clear" w:color="auto" w:fill="1F3864"/>
          </w:tcPr>
          <w:p>
            <w:r/>
            <w:r>
              <w:rPr>
                <w:rFonts w:ascii="Calibri" w:hAnsi="Calibri" w:cs="Calibri" w:eastAsia="Calibri"/>
                <w:b/>
                <w:i w:val="0"/>
                <w:color w:val="FFFFFF"/>
                <w:sz w:val="16"/>
                <w:szCs w:val="16"/>
                <w:bCs/>
              </w:rPr>
              <w:t>Data subjects and data categories</w:t>
            </w:r>
          </w:p>
        </w:tc>
        <w:tc>
          <w:tcPr>
            <w:tcW w:type="dxa" w:w="1376"/>
            <w:shd w:val="clear" w:color="auto" w:fill="1F3864"/>
          </w:tcPr>
          <w:p>
            <w:r/>
            <w:r>
              <w:rPr>
                <w:rFonts w:ascii="Calibri" w:hAnsi="Calibri" w:cs="Calibri" w:eastAsia="Calibri"/>
                <w:b/>
                <w:i w:val="0"/>
                <w:color w:val="FFFFFF"/>
                <w:sz w:val="16"/>
                <w:szCs w:val="16"/>
                <w:bCs/>
              </w:rPr>
              <w:t>Lawful basis</w:t>
            </w:r>
          </w:p>
        </w:tc>
        <w:tc>
          <w:tcPr>
            <w:tcW w:type="dxa" w:w="1376"/>
            <w:shd w:val="clear" w:color="auto" w:fill="1F3864"/>
          </w:tcPr>
          <w:p>
            <w:r/>
            <w:r>
              <w:rPr>
                <w:rFonts w:ascii="Calibri" w:hAnsi="Calibri" w:cs="Calibri" w:eastAsia="Calibri"/>
                <w:b/>
                <w:i w:val="0"/>
                <w:color w:val="FFFFFF"/>
                <w:sz w:val="16"/>
                <w:szCs w:val="16"/>
                <w:bCs/>
              </w:rPr>
              <w:t>Source</w:t>
            </w:r>
          </w:p>
        </w:tc>
        <w:tc>
          <w:tcPr>
            <w:tcW w:type="dxa" w:w="1376"/>
            <w:shd w:val="clear" w:color="auto" w:fill="1F3864"/>
          </w:tcPr>
          <w:p>
            <w:r/>
            <w:r>
              <w:rPr>
                <w:rFonts w:ascii="Calibri" w:hAnsi="Calibri" w:cs="Calibri" w:eastAsia="Calibri"/>
                <w:b/>
                <w:i w:val="0"/>
                <w:color w:val="FFFFFF"/>
                <w:sz w:val="16"/>
                <w:szCs w:val="16"/>
                <w:bCs/>
              </w:rPr>
              <w:t>Recipients and transfers</w:t>
            </w:r>
          </w:p>
        </w:tc>
        <w:tc>
          <w:tcPr>
            <w:tcW w:type="dxa" w:w="1376"/>
            <w:shd w:val="clear" w:color="auto" w:fill="1F3864"/>
          </w:tcPr>
          <w:p>
            <w:r/>
            <w:r>
              <w:rPr>
                <w:rFonts w:ascii="Calibri" w:hAnsi="Calibri" w:cs="Calibri" w:eastAsia="Calibri"/>
                <w:b/>
                <w:i w:val="0"/>
                <w:color w:val="FFFFFF"/>
                <w:sz w:val="16"/>
                <w:szCs w:val="16"/>
                <w:bCs/>
              </w:rPr>
              <w:t>Retention period</w:t>
            </w:r>
          </w:p>
        </w:tc>
        <w:tc>
          <w:tcPr>
            <w:tcW w:type="dxa" w:w="1376"/>
            <w:shd w:val="clear" w:color="auto" w:fill="1F3864"/>
          </w:tcPr>
          <w:p>
            <w:r/>
            <w:r>
              <w:rPr>
                <w:rFonts w:ascii="Calibri" w:hAnsi="Calibri" w:cs="Calibri" w:eastAsia="Calibri"/>
                <w:b/>
                <w:i w:val="0"/>
                <w:color w:val="FFFFFF"/>
                <w:sz w:val="16"/>
                <w:szCs w:val="16"/>
                <w:bCs/>
              </w:rPr>
              <w:t>Systems</w:t>
            </w:r>
          </w:p>
        </w:tc>
        <w:tc>
          <w:tcPr>
            <w:tcW w:type="dxa" w:w="1376"/>
            <w:shd w:val="clear" w:color="auto" w:fill="1F3864"/>
          </w:tcPr>
          <w:p>
            <w:r/>
            <w:r>
              <w:rPr>
                <w:rFonts w:ascii="Calibri" w:hAnsi="Calibri" w:cs="Calibri" w:eastAsia="Calibri"/>
                <w:b/>
                <w:i w:val="0"/>
                <w:color w:val="FFFFFF"/>
                <w:sz w:val="16"/>
                <w:szCs w:val="16"/>
                <w:bCs/>
              </w:rPr>
              <w:t>Security measures</w:t>
            </w:r>
          </w:p>
        </w:tc>
        <w:tc>
          <w:tcPr>
            <w:tcW w:type="dxa" w:w="1376"/>
            <w:shd w:val="clear" w:color="auto" w:fill="1F3864"/>
          </w:tcPr>
          <w:p>
            <w:r/>
            <w:r>
              <w:rPr>
                <w:rFonts w:ascii="Calibri" w:hAnsi="Calibri" w:cs="Calibri" w:eastAsia="Calibri"/>
                <w:b/>
                <w:i w:val="0"/>
                <w:color w:val="FFFFFF"/>
                <w:sz w:val="16"/>
                <w:szCs w:val="16"/>
                <w:bCs/>
              </w:rPr>
              <w:t>Rights requests refused (if any)</w:t>
            </w:r>
          </w:p>
        </w:tc>
      </w:tr>
      <w:tr>
        <w:tc>
          <w:tcPr>
            <w:tcW w:type="dxa" w:w="1376"/>
          </w:tcPr>
          <w:p>
            <w:r/>
            <w:r>
              <w:rPr>
                <w:rFonts w:ascii="Calibri" w:hAnsi="Calibri" w:cs="Calibri" w:eastAsia="Calibri"/>
                <w:b w:val="0"/>
                <w:i w:val="0"/>
                <w:sz w:val="16"/>
                <w:szCs w:val="16"/>
              </w:rPr>
              <w:t>ROPA-MR-01</w:t>
            </w:r>
          </w:p>
        </w:tc>
        <w:tc>
          <w:tcPr>
            <w:tcW w:type="dxa" w:w="1376"/>
          </w:tcPr>
          <w:p>
            <w:r/>
            <w:r>
              <w:rPr>
                <w:rFonts w:ascii="Calibri" w:hAnsi="Calibri" w:cs="Calibri" w:eastAsia="Calibri"/>
                <w:b w:val="0"/>
                <w:i w:val="0"/>
                <w:sz w:val="16"/>
                <w:szCs w:val="16"/>
              </w:rPr>
              <w:t>Patient registration and medical records; Medical Records Dept.</w:t>
            </w:r>
          </w:p>
        </w:tc>
        <w:tc>
          <w:tcPr>
            <w:tcW w:type="dxa" w:w="1376"/>
          </w:tcPr>
          <w:p>
            <w:r/>
            <w:r>
              <w:rPr>
                <w:rFonts w:ascii="Calibri" w:hAnsi="Calibri" w:cs="Calibri" w:eastAsia="Calibri"/>
                <w:b w:val="0"/>
                <w:i w:val="0"/>
                <w:sz w:val="16"/>
                <w:szCs w:val="16"/>
              </w:rPr>
              <w:t>Identify patients and provide medical care</w:t>
            </w:r>
          </w:p>
        </w:tc>
        <w:tc>
          <w:tcPr>
            <w:tcW w:type="dxa" w:w="1376"/>
          </w:tcPr>
          <w:p>
            <w:r/>
            <w:r>
              <w:rPr>
                <w:rFonts w:ascii="Calibri" w:hAnsi="Calibri" w:cs="Calibri" w:eastAsia="Calibri"/>
                <w:b w:val="0"/>
                <w:i w:val="0"/>
                <w:sz w:val="16"/>
                <w:szCs w:val="16"/>
              </w:rPr>
              <w:t>Patients; identity, contact, health data (sensitive, s.26)</w:t>
            </w:r>
          </w:p>
        </w:tc>
        <w:tc>
          <w:tcPr>
            <w:tcW w:type="dxa" w:w="1376"/>
          </w:tcPr>
          <w:p>
            <w:r/>
            <w:r>
              <w:rPr>
                <w:rFonts w:ascii="Calibri" w:hAnsi="Calibri" w:cs="Calibri" w:eastAsia="Calibri"/>
                <w:b w:val="0"/>
                <w:i w:val="0"/>
                <w:sz w:val="16"/>
                <w:szCs w:val="16"/>
              </w:rPr>
              <w:t>s.26(5)(a) preventive medicine and medical diagnosis; s.24(3) contract</w:t>
            </w:r>
          </w:p>
        </w:tc>
        <w:tc>
          <w:tcPr>
            <w:tcW w:type="dxa" w:w="1376"/>
          </w:tcPr>
          <w:p>
            <w:r/>
            <w:r>
              <w:rPr>
                <w:rFonts w:ascii="Calibri" w:hAnsi="Calibri" w:cs="Calibri" w:eastAsia="Calibri"/>
                <w:b w:val="0"/>
                <w:i w:val="0"/>
                <w:sz w:val="16"/>
                <w:szCs w:val="16"/>
              </w:rPr>
              <w:t>Patient</w:t>
            </w:r>
          </w:p>
        </w:tc>
        <w:tc>
          <w:tcPr>
            <w:tcW w:type="dxa" w:w="1376"/>
          </w:tcPr>
          <w:p>
            <w:r/>
            <w:r>
              <w:rPr>
                <w:rFonts w:ascii="Calibri" w:hAnsi="Calibri" w:cs="Calibri" w:eastAsia="Calibri"/>
                <w:b w:val="0"/>
                <w:i w:val="0"/>
                <w:sz w:val="16"/>
                <w:szCs w:val="16"/>
              </w:rPr>
              <w:t>Treating physicians, insurers (with consent), Ministry of Public Health when legally required</w:t>
            </w:r>
          </w:p>
        </w:tc>
        <w:tc>
          <w:tcPr>
            <w:tcW w:type="dxa" w:w="1376"/>
          </w:tcPr>
          <w:p>
            <w:r/>
            <w:r>
              <w:rPr>
                <w:rFonts w:ascii="Calibri" w:hAnsi="Calibri" w:cs="Calibri" w:eastAsia="Calibri"/>
                <w:b w:val="0"/>
                <w:i w:val="0"/>
                <w:sz w:val="16"/>
                <w:szCs w:val="16"/>
              </w:rPr>
              <w:t>Per MOPH and HA requirements [VERIFY]</w:t>
            </w:r>
          </w:p>
        </w:tc>
        <w:tc>
          <w:tcPr>
            <w:tcW w:type="dxa" w:w="1376"/>
          </w:tcPr>
          <w:p>
            <w:r/>
            <w:r>
              <w:rPr>
                <w:rFonts w:ascii="Calibri" w:hAnsi="Calibri" w:cs="Calibri" w:eastAsia="Calibri"/>
                <w:b w:val="0"/>
                <w:i w:val="0"/>
                <w:sz w:val="16"/>
                <w:szCs w:val="16"/>
              </w:rPr>
              <w:t>HIS</w:t>
            </w:r>
          </w:p>
        </w:tc>
        <w:tc>
          <w:tcPr>
            <w:tcW w:type="dxa" w:w="1376"/>
          </w:tcPr>
          <w:p>
            <w:r/>
            <w:r>
              <w:rPr>
                <w:rFonts w:ascii="Calibri" w:hAnsi="Calibri" w:cs="Calibri" w:eastAsia="Calibri"/>
                <w:b w:val="0"/>
                <w:i w:val="0"/>
                <w:sz w:val="16"/>
                <w:szCs w:val="16"/>
              </w:rPr>
              <w:t>Role-based access, audit logs, encryption at rest, quarterly access review</w:t>
            </w:r>
          </w:p>
        </w:tc>
        <w:tc>
          <w:tcPr>
            <w:tcW w:type="dxa" w:w="1376"/>
          </w:tcPr>
          <w:p>
            <w:r/>
            <w:r>
              <w:rPr>
                <w:rFonts w:ascii="Calibri" w:hAnsi="Calibri" w:cs="Calibri" w:eastAsia="Calibri"/>
                <w:b w:val="0"/>
                <w:i w:val="0"/>
                <w:sz w:val="16"/>
                <w:szCs w:val="16"/>
              </w:rPr>
              <w:t>None</w:t>
            </w:r>
          </w:p>
        </w:tc>
      </w:tr>
      <w:tr>
        <w:tc>
          <w:tcPr>
            <w:tcW w:type="dxa" w:w="1376"/>
          </w:tcPr>
          <w:p>
            <w:r/>
            <w:r>
              <w:rPr>
                <w:rFonts w:ascii="Calibri" w:hAnsi="Calibri" w:cs="Calibri" w:eastAsia="Calibri"/>
                <w:b w:val="0"/>
                <w:i w:val="0"/>
                <w:sz w:val="16"/>
                <w:szCs w:val="16"/>
              </w:rPr>
              <w:t>ROPA-IMG-01</w:t>
            </w:r>
          </w:p>
        </w:tc>
        <w:tc>
          <w:tcPr>
            <w:tcW w:type="dxa" w:w="1376"/>
          </w:tcPr>
          <w:p>
            <w:r/>
            <w:r>
              <w:rPr>
                <w:rFonts w:ascii="Calibri" w:hAnsi="Calibri" w:cs="Calibri" w:eastAsia="Calibri"/>
                <w:b w:val="0"/>
                <w:i w:val="0"/>
                <w:sz w:val="16"/>
                <w:szCs w:val="16"/>
              </w:rPr>
              <w:t>Diagnostic imaging; Radiology</w:t>
            </w:r>
          </w:p>
        </w:tc>
        <w:tc>
          <w:tcPr>
            <w:tcW w:type="dxa" w:w="1376"/>
          </w:tcPr>
          <w:p>
            <w:r/>
            <w:r>
              <w:rPr>
                <w:rFonts w:ascii="Calibri" w:hAnsi="Calibri" w:cs="Calibri" w:eastAsia="Calibri"/>
                <w:b w:val="0"/>
                <w:i w:val="0"/>
                <w:sz w:val="16"/>
                <w:szCs w:val="16"/>
              </w:rPr>
              <w:t>Perform and report imaging studies</w:t>
            </w:r>
          </w:p>
        </w:tc>
        <w:tc>
          <w:tcPr>
            <w:tcW w:type="dxa" w:w="1376"/>
          </w:tcPr>
          <w:p>
            <w:r/>
            <w:r>
              <w:rPr>
                <w:rFonts w:ascii="Calibri" w:hAnsi="Calibri" w:cs="Calibri" w:eastAsia="Calibri"/>
                <w:b w:val="0"/>
                <w:i w:val="0"/>
                <w:sz w:val="16"/>
                <w:szCs w:val="16"/>
              </w:rPr>
              <w:t>Patients; images and reports (sensitive)</w:t>
            </w:r>
          </w:p>
        </w:tc>
        <w:tc>
          <w:tcPr>
            <w:tcW w:type="dxa" w:w="1376"/>
          </w:tcPr>
          <w:p>
            <w:r/>
            <w:r>
              <w:rPr>
                <w:rFonts w:ascii="Calibri" w:hAnsi="Calibri" w:cs="Calibri" w:eastAsia="Calibri"/>
                <w:b w:val="0"/>
                <w:i w:val="0"/>
                <w:sz w:val="16"/>
                <w:szCs w:val="16"/>
              </w:rPr>
              <w:t>s.26(5)(a)</w:t>
            </w:r>
          </w:p>
        </w:tc>
        <w:tc>
          <w:tcPr>
            <w:tcW w:type="dxa" w:w="1376"/>
          </w:tcPr>
          <w:p>
            <w:r/>
            <w:r>
              <w:rPr>
                <w:rFonts w:ascii="Calibri" w:hAnsi="Calibri" w:cs="Calibri" w:eastAsia="Calibri"/>
                <w:b w:val="0"/>
                <w:i w:val="0"/>
                <w:sz w:val="16"/>
                <w:szCs w:val="16"/>
              </w:rPr>
              <w:t>HIS orders and modalities</w:t>
            </w:r>
          </w:p>
        </w:tc>
        <w:tc>
          <w:tcPr>
            <w:tcW w:type="dxa" w:w="1376"/>
          </w:tcPr>
          <w:p>
            <w:r/>
            <w:r>
              <w:rPr>
                <w:rFonts w:ascii="Calibri" w:hAnsi="Calibri" w:cs="Calibri" w:eastAsia="Calibri"/>
                <w:b w:val="0"/>
                <w:i w:val="0"/>
                <w:sz w:val="16"/>
                <w:szCs w:val="16"/>
              </w:rPr>
              <w:t>Referring physicians; Vendor B (processor) for support</w:t>
            </w:r>
          </w:p>
        </w:tc>
        <w:tc>
          <w:tcPr>
            <w:tcW w:type="dxa" w:w="1376"/>
          </w:tcPr>
          <w:p>
            <w:r/>
            <w:r>
              <w:rPr>
                <w:rFonts w:ascii="Calibri" w:hAnsi="Calibri" w:cs="Calibri" w:eastAsia="Calibri"/>
                <w:b w:val="0"/>
                <w:i w:val="0"/>
                <w:sz w:val="16"/>
                <w:szCs w:val="16"/>
              </w:rPr>
              <w:t>Same as medical record</w:t>
            </w:r>
          </w:p>
        </w:tc>
        <w:tc>
          <w:tcPr>
            <w:tcW w:type="dxa" w:w="1376"/>
          </w:tcPr>
          <w:p>
            <w:r/>
            <w:r>
              <w:rPr>
                <w:rFonts w:ascii="Calibri" w:hAnsi="Calibri" w:cs="Calibri" w:eastAsia="Calibri"/>
                <w:b w:val="0"/>
                <w:i w:val="0"/>
                <w:sz w:val="16"/>
                <w:szCs w:val="16"/>
              </w:rPr>
              <w:t>PACS</w:t>
            </w:r>
          </w:p>
        </w:tc>
        <w:tc>
          <w:tcPr>
            <w:tcW w:type="dxa" w:w="1376"/>
          </w:tcPr>
          <w:p>
            <w:r/>
            <w:r>
              <w:rPr>
                <w:rFonts w:ascii="Calibri" w:hAnsi="Calibri" w:cs="Calibri" w:eastAsia="Calibri"/>
                <w:b w:val="0"/>
                <w:i w:val="0"/>
                <w:sz w:val="16"/>
                <w:szCs w:val="16"/>
              </w:rPr>
              <w:t>Isolated VLAN, vendor access via jump host, encrypted backup</w:t>
            </w:r>
          </w:p>
        </w:tc>
        <w:tc>
          <w:tcPr>
            <w:tcW w:type="dxa" w:w="1376"/>
          </w:tcPr>
          <w:p>
            <w:r/>
            <w:r>
              <w:rPr>
                <w:rFonts w:ascii="Calibri" w:hAnsi="Calibri" w:cs="Calibri" w:eastAsia="Calibri"/>
                <w:b w:val="0"/>
                <w:i w:val="0"/>
                <w:sz w:val="16"/>
                <w:szCs w:val="16"/>
              </w:rPr>
              <w:t>None</w:t>
            </w:r>
          </w:p>
        </w:tc>
      </w:tr>
      <w:tr>
        <w:tc>
          <w:tcPr>
            <w:tcW w:type="dxa" w:w="1376"/>
          </w:tcPr>
          <w:p>
            <w:r/>
            <w:r>
              <w:rPr>
                <w:rFonts w:ascii="Calibri" w:hAnsi="Calibri" w:cs="Calibri" w:eastAsia="Calibri"/>
                <w:b w:val="0"/>
                <w:i w:val="0"/>
                <w:sz w:val="16"/>
                <w:szCs w:val="16"/>
              </w:rPr>
              <w:t>ROPA-HR-01</w:t>
            </w:r>
          </w:p>
        </w:tc>
        <w:tc>
          <w:tcPr>
            <w:tcW w:type="dxa" w:w="1376"/>
          </w:tcPr>
          <w:p>
            <w:r/>
            <w:r>
              <w:rPr>
                <w:rFonts w:ascii="Calibri" w:hAnsi="Calibri" w:cs="Calibri" w:eastAsia="Calibri"/>
                <w:b w:val="0"/>
                <w:i w:val="0"/>
                <w:sz w:val="16"/>
                <w:szCs w:val="16"/>
              </w:rPr>
              <w:t>Payroll; Human Resources</w:t>
            </w:r>
          </w:p>
        </w:tc>
        <w:tc>
          <w:tcPr>
            <w:tcW w:type="dxa" w:w="1376"/>
          </w:tcPr>
          <w:p>
            <w:r/>
            <w:r>
              <w:rPr>
                <w:rFonts w:ascii="Calibri" w:hAnsi="Calibri" w:cs="Calibri" w:eastAsia="Calibri"/>
                <w:b w:val="0"/>
                <w:i w:val="0"/>
                <w:sz w:val="16"/>
                <w:szCs w:val="16"/>
              </w:rPr>
              <w:t>Pay salaries and meet tax and social security duties</w:t>
            </w:r>
          </w:p>
        </w:tc>
        <w:tc>
          <w:tcPr>
            <w:tcW w:type="dxa" w:w="1376"/>
          </w:tcPr>
          <w:p>
            <w:r/>
            <w:r>
              <w:rPr>
                <w:rFonts w:ascii="Calibri" w:hAnsi="Calibri" w:cs="Calibri" w:eastAsia="Calibri"/>
                <w:b w:val="0"/>
                <w:i w:val="0"/>
                <w:sz w:val="16"/>
                <w:szCs w:val="16"/>
              </w:rPr>
              <w:t>Employees; identity, bank account, salary</w:t>
            </w:r>
          </w:p>
        </w:tc>
        <w:tc>
          <w:tcPr>
            <w:tcW w:type="dxa" w:w="1376"/>
          </w:tcPr>
          <w:p>
            <w:r/>
            <w:r>
              <w:rPr>
                <w:rFonts w:ascii="Calibri" w:hAnsi="Calibri" w:cs="Calibri" w:eastAsia="Calibri"/>
                <w:b w:val="0"/>
                <w:i w:val="0"/>
                <w:sz w:val="16"/>
                <w:szCs w:val="16"/>
              </w:rPr>
              <w:t>s.24(3) contract; s.24(6) legal obligation</w:t>
            </w:r>
          </w:p>
        </w:tc>
        <w:tc>
          <w:tcPr>
            <w:tcW w:type="dxa" w:w="1376"/>
          </w:tcPr>
          <w:p>
            <w:r/>
            <w:r>
              <w:rPr>
                <w:rFonts w:ascii="Calibri" w:hAnsi="Calibri" w:cs="Calibri" w:eastAsia="Calibri"/>
                <w:b w:val="0"/>
                <w:i w:val="0"/>
                <w:sz w:val="16"/>
                <w:szCs w:val="16"/>
              </w:rPr>
              <w:t>Employee</w:t>
            </w:r>
          </w:p>
        </w:tc>
        <w:tc>
          <w:tcPr>
            <w:tcW w:type="dxa" w:w="1376"/>
          </w:tcPr>
          <w:p>
            <w:r/>
            <w:r>
              <w:rPr>
                <w:rFonts w:ascii="Calibri" w:hAnsi="Calibri" w:cs="Calibri" w:eastAsia="Calibri"/>
                <w:b w:val="0"/>
                <w:i w:val="0"/>
                <w:sz w:val="16"/>
                <w:szCs w:val="16"/>
              </w:rPr>
              <w:t>Bank, Revenue Department, Social Security Office</w:t>
            </w:r>
          </w:p>
        </w:tc>
        <w:tc>
          <w:tcPr>
            <w:tcW w:type="dxa" w:w="1376"/>
          </w:tcPr>
          <w:p>
            <w:r/>
            <w:r>
              <w:rPr>
                <w:rFonts w:ascii="Calibri" w:hAnsi="Calibri" w:cs="Calibri" w:eastAsia="Calibri"/>
                <w:b w:val="0"/>
                <w:i w:val="0"/>
                <w:sz w:val="16"/>
                <w:szCs w:val="16"/>
              </w:rPr>
              <w:t>10 years after employment ends [VERIFY]</w:t>
            </w:r>
          </w:p>
        </w:tc>
        <w:tc>
          <w:tcPr>
            <w:tcW w:type="dxa" w:w="1376"/>
          </w:tcPr>
          <w:p>
            <w:r/>
            <w:r>
              <w:rPr>
                <w:rFonts w:ascii="Calibri" w:hAnsi="Calibri" w:cs="Calibri" w:eastAsia="Calibri"/>
                <w:b w:val="0"/>
                <w:i w:val="0"/>
                <w:sz w:val="16"/>
                <w:szCs w:val="16"/>
              </w:rPr>
              <w:t>ERP</w:t>
            </w:r>
          </w:p>
        </w:tc>
        <w:tc>
          <w:tcPr>
            <w:tcW w:type="dxa" w:w="1376"/>
          </w:tcPr>
          <w:p>
            <w:r/>
            <w:r>
              <w:rPr>
                <w:rFonts w:ascii="Calibri" w:hAnsi="Calibri" w:cs="Calibri" w:eastAsia="Calibri"/>
                <w:b w:val="0"/>
                <w:i w:val="0"/>
                <w:sz w:val="16"/>
                <w:szCs w:val="16"/>
              </w:rPr>
              <w:t>Restricted HR role, MFA, encrypted transfer to bank</w:t>
            </w:r>
          </w:p>
        </w:tc>
        <w:tc>
          <w:tcPr>
            <w:tcW w:type="dxa" w:w="1376"/>
          </w:tcPr>
          <w:p>
            <w:r/>
            <w:r>
              <w:rPr>
                <w:rFonts w:ascii="Calibri" w:hAnsi="Calibri" w:cs="Calibri" w:eastAsia="Calibri"/>
                <w:b w:val="0"/>
                <w:i w:val="0"/>
                <w:sz w:val="16"/>
                <w:szCs w:val="16"/>
              </w:rPr>
              <w:t>None</w:t>
            </w:r>
          </w:p>
        </w:tc>
      </w:tr>
      <w:tr>
        <w:tc>
          <w:tcPr>
            <w:tcW w:type="dxa" w:w="1376"/>
          </w:tcPr>
          <w:p>
            <w:r/>
            <w:r>
              <w:rPr>
                <w:rFonts w:ascii="Calibri" w:hAnsi="Calibri" w:cs="Calibri" w:eastAsia="Calibri"/>
                <w:b w:val="0"/>
                <w:i w:val="0"/>
                <w:sz w:val="16"/>
                <w:szCs w:val="16"/>
              </w:rPr>
              <w:t>ROPA-SEC-01</w:t>
            </w:r>
          </w:p>
        </w:tc>
        <w:tc>
          <w:tcPr>
            <w:tcW w:type="dxa" w:w="1376"/>
          </w:tcPr>
          <w:p>
            <w:r/>
            <w:r>
              <w:rPr>
                <w:rFonts w:ascii="Calibri" w:hAnsi="Calibri" w:cs="Calibri" w:eastAsia="Calibri"/>
                <w:b w:val="0"/>
                <w:i w:val="0"/>
                <w:sz w:val="16"/>
                <w:szCs w:val="16"/>
              </w:rPr>
              <w:t>CCTV; Facilities</w:t>
            </w:r>
          </w:p>
        </w:tc>
        <w:tc>
          <w:tcPr>
            <w:tcW w:type="dxa" w:w="1376"/>
          </w:tcPr>
          <w:p>
            <w:r/>
            <w:r>
              <w:rPr>
                <w:rFonts w:ascii="Calibri" w:hAnsi="Calibri" w:cs="Calibri" w:eastAsia="Calibri"/>
                <w:b w:val="0"/>
                <w:i w:val="0"/>
                <w:sz w:val="16"/>
                <w:szCs w:val="16"/>
              </w:rPr>
              <w:t>Protect people and property</w:t>
            </w:r>
          </w:p>
        </w:tc>
        <w:tc>
          <w:tcPr>
            <w:tcW w:type="dxa" w:w="1376"/>
          </w:tcPr>
          <w:p>
            <w:r/>
            <w:r>
              <w:rPr>
                <w:rFonts w:ascii="Calibri" w:hAnsi="Calibri" w:cs="Calibri" w:eastAsia="Calibri"/>
                <w:b w:val="0"/>
                <w:i w:val="0"/>
                <w:sz w:val="16"/>
                <w:szCs w:val="16"/>
              </w:rPr>
              <w:t>Patients, visitors, staff; images</w:t>
            </w:r>
          </w:p>
        </w:tc>
        <w:tc>
          <w:tcPr>
            <w:tcW w:type="dxa" w:w="1376"/>
          </w:tcPr>
          <w:p>
            <w:r/>
            <w:r>
              <w:rPr>
                <w:rFonts w:ascii="Calibri" w:hAnsi="Calibri" w:cs="Calibri" w:eastAsia="Calibri"/>
                <w:b w:val="0"/>
                <w:i w:val="0"/>
                <w:sz w:val="16"/>
                <w:szCs w:val="16"/>
              </w:rPr>
              <w:t>s.24(5) legitimate interest</w:t>
            </w:r>
          </w:p>
        </w:tc>
        <w:tc>
          <w:tcPr>
            <w:tcW w:type="dxa" w:w="1376"/>
          </w:tcPr>
          <w:p>
            <w:r/>
            <w:r>
              <w:rPr>
                <w:rFonts w:ascii="Calibri" w:hAnsi="Calibri" w:cs="Calibri" w:eastAsia="Calibri"/>
                <w:b w:val="0"/>
                <w:i w:val="0"/>
                <w:sz w:val="16"/>
                <w:szCs w:val="16"/>
              </w:rPr>
              <w:t>Cameras</w:t>
            </w:r>
          </w:p>
        </w:tc>
        <w:tc>
          <w:tcPr>
            <w:tcW w:type="dxa" w:w="1376"/>
          </w:tcPr>
          <w:p>
            <w:r/>
            <w:r>
              <w:rPr>
                <w:rFonts w:ascii="Calibri" w:hAnsi="Calibri" w:cs="Calibri" w:eastAsia="Calibri"/>
                <w:b w:val="0"/>
                <w:i w:val="0"/>
                <w:sz w:val="16"/>
                <w:szCs w:val="16"/>
              </w:rPr>
              <w:t>Police on lawful request</w:t>
            </w:r>
          </w:p>
        </w:tc>
        <w:tc>
          <w:tcPr>
            <w:tcW w:type="dxa" w:w="1376"/>
          </w:tcPr>
          <w:p>
            <w:r/>
            <w:r>
              <w:rPr>
                <w:rFonts w:ascii="Calibri" w:hAnsi="Calibri" w:cs="Calibri" w:eastAsia="Calibri"/>
                <w:b w:val="0"/>
                <w:i w:val="0"/>
                <w:sz w:val="16"/>
                <w:szCs w:val="16"/>
              </w:rPr>
              <w:t>30 days unless needed for an incident</w:t>
            </w:r>
          </w:p>
        </w:tc>
        <w:tc>
          <w:tcPr>
            <w:tcW w:type="dxa" w:w="1376"/>
          </w:tcPr>
          <w:p>
            <w:r/>
            <w:r>
              <w:rPr>
                <w:rFonts w:ascii="Calibri" w:hAnsi="Calibri" w:cs="Calibri" w:eastAsia="Calibri"/>
                <w:b w:val="0"/>
                <w:i w:val="0"/>
                <w:sz w:val="16"/>
                <w:szCs w:val="16"/>
              </w:rPr>
              <w:t>Video management system</w:t>
            </w:r>
          </w:p>
        </w:tc>
        <w:tc>
          <w:tcPr>
            <w:tcW w:type="dxa" w:w="1376"/>
          </w:tcPr>
          <w:p>
            <w:r/>
            <w:r>
              <w:rPr>
                <w:rFonts w:ascii="Calibri" w:hAnsi="Calibri" w:cs="Calibri" w:eastAsia="Calibri"/>
                <w:b w:val="0"/>
                <w:i w:val="0"/>
                <w:sz w:val="16"/>
                <w:szCs w:val="16"/>
              </w:rPr>
              <w:t>Restricted viewing room, access log</w:t>
            </w:r>
          </w:p>
        </w:tc>
        <w:tc>
          <w:tcPr>
            <w:tcW w:type="dxa" w:w="1376"/>
          </w:tcPr>
          <w:p>
            <w:r/>
            <w:r>
              <w:rPr>
                <w:rFonts w:ascii="Calibri" w:hAnsi="Calibri" w:cs="Calibri" w:eastAsia="Calibri"/>
                <w:b w:val="0"/>
                <w:i w:val="0"/>
                <w:sz w:val="16"/>
                <w:szCs w:val="16"/>
              </w:rPr>
              <w:t>1 request refused (ongoing investigation), recorded 03/2026</w:t>
            </w:r>
          </w:p>
        </w:tc>
      </w:tr>
    </w:tbl>
    <w:p>
      <w:pPr>
        <w:spacing w:after="40"/>
      </w:pPr>
    </w:p>
    <w:p>
      <w:pPr>
        <w:sectPr>
          <w:pgSz w:w="16838" w:h="11906" w:orient="landscape"/>
          <w:pgMar w:top="1134" w:right="850" w:bottom="1020" w:left="850" w:header="720" w:footer="720" w:gutter="0"/>
          <w:cols w:space="720"/>
          <w:docGrid w:linePitch="360"/>
        </w:sectPr>
      </w:pPr>
    </w:p>
    <w:p>
      <w:pPr>
        <w:pStyle w:val="Heading2"/>
        <w:keepNext/>
        <w:spacing w:before="120" w:after="80"/>
      </w:pPr>
      <w:r>
        <w:rPr>
          <w:rFonts w:ascii="Calibri" w:hAnsi="Calibri" w:cs="Calibri" w:eastAsia="Calibri"/>
          <w:b/>
          <w:i w:val="0"/>
          <w:color w:val="1F3864"/>
          <w:sz w:val="24"/>
          <w:szCs w:val="24"/>
          <w:bCs/>
        </w:rPr>
        <w:t>4.5 Register Change Log</w:t>
      </w:r>
    </w:p>
    <w:tbl>
      <w:tblPr>
        <w:tblStyle w:val="TableGrid"/>
        <w:tblW w:type="auto" w:w="0"/>
        <w:tblLayout w:type="fixed"/>
        <w:tblLook w:firstColumn="1" w:firstRow="1" w:lastColumn="0" w:lastRow="0" w:noHBand="0" w:noVBand="1" w:val="04A0"/>
        <w:tblLayout w:type="fixed"/>
      </w:tblPr>
      <w:tblGrid>
        <w:gridCol w:w="9355"/>
      </w:tblGrid>
      <w:tr>
        <w:tc>
          <w:tcPr>
            <w:tcW w:type="dxa" w:w="9354"/>
            <w:shd w:val="clear" w:color="auto" w:fill="EAF0F7"/>
          </w:tcPr>
          <w:p>
            <w:r>
              <w:rPr>
                <w:rFonts w:ascii="Calibri" w:hAnsi="Calibri" w:cs="Calibri" w:eastAsia="Calibri"/>
                <w:b/>
                <w:i w:val="0"/>
                <w:color w:val="1F3864"/>
                <w:sz w:val="18"/>
                <w:szCs w:val="18"/>
                <w:bCs/>
              </w:rPr>
              <w:t xml:space="preserve">Requirement: </w:t>
            </w:r>
            <w:r>
              <w:rPr>
                <w:rFonts w:ascii="Calibri" w:hAnsi="Calibri" w:cs="Calibri" w:eastAsia="Calibri"/>
                <w:b w:val="0"/>
                <w:i w:val="0"/>
                <w:sz w:val="18"/>
                <w:szCs w:val="18"/>
              </w:rPr>
              <w:t>Track changes to the register itself (additions, closures, and periodic reviews) so reviewers can see how it evolved.</w:t>
            </w:r>
          </w:p>
        </w:tc>
      </w:tr>
    </w:tbl>
    <w:p>
      <w:pPr>
        <w:spacing w:after="0"/>
      </w:pPr>
    </w:p>
    <w:tbl>
      <w:tblPr>
        <w:tblStyle w:val="TableGrid"/>
        <w:tblW w:type="auto" w:w="0"/>
        <w:jc w:val="center"/>
        <w:tblLayout w:type="fixed"/>
        <w:tblLook w:firstColumn="1" w:firstRow="1" w:lastColumn="0" w:lastRow="0" w:noHBand="0" w:noVBand="1" w:val="04A0"/>
        <w:tblLayout w:type="fixed"/>
      </w:tblPr>
      <w:tblGrid>
        <w:gridCol w:w="680"/>
        <w:gridCol w:w="1701"/>
        <w:gridCol w:w="4989"/>
        <w:gridCol w:w="1984"/>
      </w:tblGrid>
      <w:tr>
        <w:trPr>
          <w:tblHeader w:val="true"/>
        </w:trPr>
        <w:tc>
          <w:tcPr>
            <w:tcW w:type="dxa" w:w="680"/>
            <w:shd w:val="clear" w:color="auto" w:fill="1F3864"/>
          </w:tcPr>
          <w:p>
            <w:r/>
            <w:r>
              <w:rPr>
                <w:rFonts w:ascii="Calibri" w:hAnsi="Calibri" w:cs="Calibri" w:eastAsia="Calibri"/>
                <w:b/>
                <w:i w:val="0"/>
                <w:color w:val="FFFFFF"/>
                <w:sz w:val="18"/>
                <w:szCs w:val="18"/>
                <w:bCs/>
              </w:rPr>
              <w:t>No.</w:t>
            </w:r>
          </w:p>
        </w:tc>
        <w:tc>
          <w:tcPr>
            <w:tcW w:type="dxa" w:w="1701"/>
            <w:shd w:val="clear" w:color="auto" w:fill="1F3864"/>
          </w:tcPr>
          <w:p>
            <w:r/>
            <w:r>
              <w:rPr>
                <w:rFonts w:ascii="Calibri" w:hAnsi="Calibri" w:cs="Calibri" w:eastAsia="Calibri"/>
                <w:b/>
                <w:i w:val="0"/>
                <w:color w:val="FFFFFF"/>
                <w:sz w:val="18"/>
                <w:szCs w:val="18"/>
                <w:bCs/>
              </w:rPr>
              <w:t>Date</w:t>
            </w:r>
          </w:p>
        </w:tc>
        <w:tc>
          <w:tcPr>
            <w:tcW w:type="dxa" w:w="4989"/>
            <w:shd w:val="clear" w:color="auto" w:fill="1F3864"/>
          </w:tcPr>
          <w:p>
            <w:r/>
            <w:r>
              <w:rPr>
                <w:rFonts w:ascii="Calibri" w:hAnsi="Calibri" w:cs="Calibri" w:eastAsia="Calibri"/>
                <w:b/>
                <w:i w:val="0"/>
                <w:color w:val="FFFFFF"/>
                <w:sz w:val="18"/>
                <w:szCs w:val="18"/>
                <w:bCs/>
              </w:rPr>
              <w:t>Description of Change</w:t>
            </w:r>
          </w:p>
        </w:tc>
        <w:tc>
          <w:tcPr>
            <w:tcW w:type="dxa" w:w="1984"/>
            <w:shd w:val="clear" w:color="auto" w:fill="1F3864"/>
          </w:tcPr>
          <w:p>
            <w:r/>
            <w:r>
              <w:rPr>
                <w:rFonts w:ascii="Calibri" w:hAnsi="Calibri" w:cs="Calibri" w:eastAsia="Calibri"/>
                <w:b/>
                <w:i w:val="0"/>
                <w:color w:val="FFFFFF"/>
                <w:sz w:val="18"/>
                <w:szCs w:val="18"/>
                <w:bCs/>
              </w:rPr>
              <w:t>Prepared By</w:t>
            </w:r>
          </w:p>
        </w:tc>
      </w:tr>
      <w:tr>
        <w:tc>
          <w:tcPr>
            <w:tcW w:type="dxa" w:w="680"/>
          </w:tcPr>
          <w:p>
            <w:r/>
            <w:r>
              <w:rPr>
                <w:rFonts w:ascii="Calibri" w:hAnsi="Calibri" w:cs="Calibri" w:eastAsia="Calibri"/>
                <w:b w:val="0"/>
                <w:i w:val="0"/>
                <w:sz w:val="18"/>
                <w:szCs w:val="18"/>
              </w:rPr>
              <w:t>1</w:t>
            </w:r>
          </w:p>
        </w:tc>
        <w:tc>
          <w:tcPr>
            <w:tcW w:type="dxa" w:w="1701"/>
          </w:tcPr>
          <w:p>
            <w:r/>
            <w:r>
              <w:rPr>
                <w:rFonts w:ascii="Calibri" w:hAnsi="Calibri" w:cs="Calibri" w:eastAsia="Calibri"/>
                <w:b w:val="0"/>
                <w:i w:val="0"/>
                <w:sz w:val="18"/>
                <w:szCs w:val="18"/>
              </w:rPr>
              <w:t>31 March 2026</w:t>
            </w:r>
          </w:p>
        </w:tc>
        <w:tc>
          <w:tcPr>
            <w:tcW w:type="dxa" w:w="4989"/>
          </w:tcPr>
          <w:p>
            <w:r/>
            <w:r>
              <w:rPr>
                <w:rFonts w:ascii="Calibri" w:hAnsi="Calibri" w:cs="Calibri" w:eastAsia="Calibri"/>
                <w:b w:val="0"/>
                <w:i w:val="0"/>
                <w:sz w:val="18"/>
                <w:szCs w:val="18"/>
              </w:rPr>
              <w:t>Q1 2026 review completed; entries updated and stale entries closed.</w:t>
            </w:r>
          </w:p>
        </w:tc>
        <w:tc>
          <w:tcPr>
            <w:tcW w:type="dxa" w:w="1984"/>
          </w:tcPr>
          <w:p>
            <w:r/>
            <w:r>
              <w:rPr>
                <w:rFonts w:ascii="Calibri" w:hAnsi="Calibri" w:cs="Calibri" w:eastAsia="Calibri"/>
                <w:b w:val="0"/>
                <w:i w:val="0"/>
                <w:sz w:val="18"/>
                <w:szCs w:val="18"/>
              </w:rPr>
              <w:t>Data Protection Officer (DPO)</w:t>
            </w:r>
          </w:p>
        </w:tc>
      </w:tr>
      <w:tr>
        <w:tc>
          <w:tcPr>
            <w:tcW w:type="dxa" w:w="680"/>
          </w:tcPr>
          <w:p>
            <w:r/>
            <w:r>
              <w:rPr>
                <w:rFonts w:ascii="Calibri" w:hAnsi="Calibri" w:cs="Calibri" w:eastAsia="Calibri"/>
                <w:b w:val="0"/>
                <w:i w:val="0"/>
                <w:sz w:val="18"/>
                <w:szCs w:val="18"/>
              </w:rPr>
              <w:t>2</w:t>
            </w:r>
          </w:p>
        </w:tc>
        <w:tc>
          <w:tcPr>
            <w:tcW w:type="dxa" w:w="1701"/>
          </w:tcPr>
          <w:p>
            <w:r/>
            <w:r>
              <w:rPr>
                <w:rFonts w:ascii="Calibri" w:hAnsi="Calibri" w:cs="Calibri" w:eastAsia="Calibri"/>
                <w:b w:val="0"/>
                <w:i w:val="0"/>
                <w:sz w:val="18"/>
                <w:szCs w:val="18"/>
              </w:rPr>
              <w:t>30 June 2026</w:t>
            </w:r>
          </w:p>
        </w:tc>
        <w:tc>
          <w:tcPr>
            <w:tcW w:type="dxa" w:w="4989"/>
          </w:tcPr>
          <w:p>
            <w:r/>
            <w:r>
              <w:rPr>
                <w:rFonts w:ascii="Calibri" w:hAnsi="Calibri" w:cs="Calibri" w:eastAsia="Calibri"/>
                <w:b w:val="0"/>
                <w:i w:val="0"/>
                <w:sz w:val="18"/>
                <w:szCs w:val="18"/>
              </w:rPr>
              <w:t>Q2 2026 review completed; new entries added from audit and incident follow-up.</w:t>
            </w:r>
          </w:p>
        </w:tc>
        <w:tc>
          <w:tcPr>
            <w:tcW w:type="dxa" w:w="1984"/>
          </w:tcPr>
          <w:p>
            <w:r/>
            <w:r>
              <w:rPr>
                <w:rFonts w:ascii="Calibri" w:hAnsi="Calibri" w:cs="Calibri" w:eastAsia="Calibri"/>
                <w:b w:val="0"/>
                <w:i w:val="0"/>
                <w:sz w:val="18"/>
                <w:szCs w:val="18"/>
              </w:rPr>
              <w:t>Data Protection Officer (DPO)</w:t>
            </w:r>
          </w:p>
        </w:tc>
      </w:tr>
      <w:tr>
        <w:tc>
          <w:tcPr>
            <w:tcW w:type="dxa" w:w="680"/>
          </w:tcPr>
          <w:p>
            <w:r/>
            <w:r>
              <w:rPr>
                <w:rFonts w:ascii="Calibri" w:hAnsi="Calibri" w:cs="Calibri" w:eastAsia="Calibri"/>
                <w:b w:val="0"/>
                <w:i w:val="0"/>
                <w:sz w:val="18"/>
                <w:szCs w:val="18"/>
              </w:rPr>
              <w:t>3</w:t>
            </w:r>
          </w:p>
        </w:tc>
        <w:tc>
          <w:tcPr>
            <w:tcW w:type="dxa" w:w="1701"/>
          </w:tcPr>
          <w:p>
            <w:r/>
            <w:r>
              <w:rPr>
                <w:rFonts w:ascii="Calibri" w:hAnsi="Calibri" w:cs="Calibri" w:eastAsia="Calibri"/>
                <w:b w:val="0"/>
                <w:i w:val="0"/>
                <w:sz w:val="18"/>
                <w:szCs w:val="18"/>
              </w:rPr>
              <w:t>30 September 2026</w:t>
            </w:r>
          </w:p>
        </w:tc>
        <w:tc>
          <w:tcPr>
            <w:tcW w:type="dxa" w:w="4989"/>
          </w:tcPr>
          <w:p>
            <w:r/>
            <w:r>
              <w:rPr>
                <w:rFonts w:ascii="Calibri" w:hAnsi="Calibri" w:cs="Calibri" w:eastAsia="Calibri"/>
                <w:b w:val="0"/>
                <w:i w:val="0"/>
                <w:sz w:val="18"/>
                <w:szCs w:val="18"/>
              </w:rPr>
              <w:t>Q3 2026 review completed; owners confirmed for all open entries.</w:t>
            </w:r>
          </w:p>
        </w:tc>
        <w:tc>
          <w:tcPr>
            <w:tcW w:type="dxa" w:w="1984"/>
          </w:tcPr>
          <w:p>
            <w:r/>
            <w:r>
              <w:rPr>
                <w:rFonts w:ascii="Calibri" w:hAnsi="Calibri" w:cs="Calibri" w:eastAsia="Calibri"/>
                <w:b w:val="0"/>
                <w:i w:val="0"/>
                <w:sz w:val="18"/>
                <w:szCs w:val="18"/>
              </w:rPr>
              <w:t>Data Protection Officer (DPO)</w:t>
            </w:r>
          </w:p>
        </w:tc>
      </w:tr>
    </w:tbl>
    <w:p>
      <w:pPr>
        <w:spacing w:after="40"/>
      </w:pPr>
    </w:p>
    <w:p>
      <w:pPr>
        <w:pStyle w:val="Heading1"/>
        <w:keepNext/>
        <w:spacing w:before="200" w:after="80"/>
      </w:pPr>
      <w:r>
        <w:rPr>
          <w:rFonts w:ascii="Calibri" w:hAnsi="Calibri" w:cs="Calibri" w:eastAsia="Calibri"/>
          <w:b/>
          <w:i w:val="0"/>
          <w:color w:val="1F3864"/>
          <w:sz w:val="29"/>
          <w:szCs w:val="29"/>
          <w:bCs/>
        </w:rPr>
        <w:t>5. Part B: Best Practice</w:t>
      </w:r>
    </w:p>
    <w:p>
      <w:pPr>
        <w:pStyle w:val="ListBullet"/>
        <w:spacing w:after="40"/>
      </w:pPr>
      <w:r>
        <w:rPr>
          <w:rFonts w:ascii="Calibri" w:hAnsi="Calibri" w:cs="Calibri" w:eastAsia="Calibri"/>
          <w:b w:val="0"/>
          <w:i w:val="0"/>
          <w:sz w:val="21"/>
          <w:szCs w:val="21"/>
        </w:rPr>
        <w:t>Build the ROPA through short interviews with each department, then validate entries against the system inventory (ID-REG-002).</w:t>
      </w:r>
    </w:p>
    <w:p>
      <w:pPr>
        <w:pStyle w:val="ListBullet"/>
        <w:spacing w:after="40"/>
      </w:pPr>
      <w:r>
        <w:rPr>
          <w:rFonts w:ascii="Calibri" w:hAnsi="Calibri" w:cs="Calibri" w:eastAsia="Calibri"/>
          <w:b w:val="0"/>
          <w:i w:val="0"/>
          <w:sz w:val="21"/>
          <w:szCs w:val="21"/>
        </w:rPr>
        <w:t>Keep separate ROPA views for controller and processor activities; PDPA s.40 requires processors to keep their own records.</w:t>
      </w:r>
    </w:p>
    <w:p>
      <w:pPr>
        <w:pStyle w:val="ListBullet"/>
        <w:spacing w:after="40"/>
      </w:pPr>
      <w:r>
        <w:rPr>
          <w:rFonts w:ascii="Calibri" w:hAnsi="Calibri" w:cs="Calibri" w:eastAsia="Calibri"/>
          <w:b w:val="0"/>
          <w:i w:val="0"/>
          <w:sz w:val="21"/>
          <w:szCs w:val="21"/>
        </w:rPr>
        <w:t>Link each ROPA entry to its privacy notice and DPIA so changes stay consistent.</w:t>
      </w:r>
    </w:p>
    <w:p>
      <w:pPr>
        <w:pStyle w:val="Heading2"/>
        <w:keepNext/>
        <w:spacing w:before="120" w:after="80"/>
      </w:pPr>
      <w:r>
        <w:rPr>
          <w:rFonts w:ascii="Calibri" w:hAnsi="Calibri" w:cs="Calibri" w:eastAsia="Calibri"/>
          <w:b/>
          <w:i w:val="0"/>
          <w:color w:val="1F3864"/>
          <w:sz w:val="24"/>
          <w:szCs w:val="24"/>
          <w:bCs/>
        </w:rPr>
        <w:t>Common Mistakes to Avoid</w:t>
      </w:r>
    </w:p>
    <w:p>
      <w:pPr>
        <w:pStyle w:val="ListBullet"/>
        <w:spacing w:after="40"/>
      </w:pPr>
      <w:r>
        <w:rPr>
          <w:rFonts w:ascii="Calibri" w:hAnsi="Calibri" w:cs="Calibri" w:eastAsia="Calibri"/>
          <w:b w:val="0"/>
          <w:i w:val="0"/>
          <w:sz w:val="21"/>
          <w:szCs w:val="21"/>
        </w:rPr>
        <w:t>Treating the ROPA as a one-time project; it goes stale within months.</w:t>
      </w:r>
    </w:p>
    <w:p>
      <w:pPr>
        <w:pStyle w:val="ListBullet"/>
        <w:spacing w:after="40"/>
      </w:pPr>
      <w:r>
        <w:rPr>
          <w:rFonts w:ascii="Calibri" w:hAnsi="Calibri" w:cs="Calibri" w:eastAsia="Calibri"/>
          <w:b w:val="0"/>
          <w:i w:val="0"/>
          <w:sz w:val="21"/>
          <w:szCs w:val="21"/>
        </w:rPr>
        <w:t>Listing systems instead of processing activities.</w:t>
      </w:r>
    </w:p>
    <w:p>
      <w:pPr>
        <w:pStyle w:val="Heading1"/>
        <w:keepNext/>
        <w:spacing w:before="200" w:after="80"/>
      </w:pPr>
      <w:r>
        <w:rPr>
          <w:rFonts w:ascii="Calibri" w:hAnsi="Calibri" w:cs="Calibri" w:eastAsia="Calibri"/>
          <w:b/>
          <w:i w:val="0"/>
          <w:color w:val="1F3864"/>
          <w:sz w:val="29"/>
          <w:szCs w:val="29"/>
          <w:bCs/>
        </w:rPr>
        <w:t>6. Annex: Traceability and Related Documents</w:t>
      </w:r>
    </w:p>
    <w:tbl>
      <w:tblPr>
        <w:tblStyle w:val="TableGrid"/>
        <w:tblW w:type="auto" w:w="0"/>
        <w:tblLayout w:type="fixed"/>
        <w:tblLook w:firstColumn="1" w:firstRow="1" w:lastColumn="0" w:lastRow="0" w:noHBand="0" w:noVBand="1" w:val="04A0"/>
        <w:tblLayout w:type="fixed"/>
      </w:tblPr>
      <w:tblGrid>
        <w:gridCol w:w="2835"/>
        <w:gridCol w:w="6520"/>
      </w:tblGrid>
      <w:tr>
        <w:tc>
          <w:tcPr>
            <w:tcW w:type="dxa" w:w="2835"/>
            <w:shd w:val="clear" w:color="auto" w:fill="EAF0F7"/>
          </w:tcPr>
          <w:p>
            <w:r>
              <w:rPr>
                <w:rFonts w:ascii="Calibri" w:hAnsi="Calibri" w:cs="Calibri" w:eastAsia="Calibri"/>
                <w:b/>
                <w:i w:val="0"/>
                <w:sz w:val="18"/>
                <w:szCs w:val="18"/>
                <w:bCs/>
              </w:rPr>
              <w:t>NIST CSF 2.0 Subcategories</w:t>
            </w:r>
          </w:p>
        </w:tc>
        <w:tc>
          <w:tcPr>
            <w:tcW w:type="dxa" w:w="6520"/>
          </w:tcPr>
          <w:p>
            <w:r>
              <w:rPr>
                <w:rFonts w:ascii="Calibri" w:hAnsi="Calibri" w:cs="Calibri" w:eastAsia="Calibri"/>
                <w:b w:val="0"/>
                <w:i w:val="0"/>
                <w:sz w:val="18"/>
                <w:szCs w:val="18"/>
              </w:rPr>
              <w:t>GV.OC-03: Legal, regulatory, and contractual cybersecurity requirements are understood and managed</w:t>
            </w:r>
          </w:p>
          <w:p>
            <w:r>
              <w:rPr>
                <w:rFonts w:ascii="Calibri" w:hAnsi="Calibri" w:cs="Calibri" w:eastAsia="Calibri"/>
                <w:b w:val="0"/>
                <w:i w:val="0"/>
                <w:sz w:val="18"/>
                <w:szCs w:val="18"/>
              </w:rPr>
              <w:t>ID.AM-07: Inventories of data and corresponding metadata for designated data types are maintained</w:t>
            </w:r>
          </w:p>
        </w:tc>
      </w:tr>
      <w:tr>
        <w:tc>
          <w:tcPr>
            <w:tcW w:type="dxa" w:w="2835"/>
            <w:shd w:val="clear" w:color="auto" w:fill="EAF0F7"/>
          </w:tcPr>
          <w:p>
            <w:r>
              <w:rPr>
                <w:rFonts w:ascii="Calibri" w:hAnsi="Calibri" w:cs="Calibri" w:eastAsia="Calibri"/>
                <w:b/>
                <w:i w:val="0"/>
                <w:sz w:val="18"/>
                <w:szCs w:val="18"/>
                <w:bCs/>
              </w:rPr>
              <w:t>ISO/IEC 27001:2022</w:t>
            </w:r>
          </w:p>
        </w:tc>
        <w:tc>
          <w:tcPr>
            <w:tcW w:type="dxa" w:w="6520"/>
          </w:tcPr>
          <w:p>
            <w:r>
              <w:rPr>
                <w:rFonts w:ascii="Calibri" w:hAnsi="Calibri" w:cs="Calibri" w:eastAsia="Calibri"/>
                <w:b w:val="0"/>
                <w:i w:val="0"/>
                <w:sz w:val="18"/>
                <w:szCs w:val="18"/>
              </w:rPr>
              <w:t>Annex A.5.34</w:t>
            </w:r>
          </w:p>
        </w:tc>
      </w:tr>
      <w:tr>
        <w:tc>
          <w:tcPr>
            <w:tcW w:type="dxa" w:w="2835"/>
            <w:shd w:val="clear" w:color="auto" w:fill="EAF0F7"/>
          </w:tcPr>
          <w:p>
            <w:r>
              <w:rPr>
                <w:rFonts w:ascii="Calibri" w:hAnsi="Calibri" w:cs="Calibri" w:eastAsia="Calibri"/>
                <w:b/>
                <w:i w:val="0"/>
                <w:sz w:val="18"/>
                <w:szCs w:val="18"/>
                <w:bCs/>
              </w:rPr>
              <w:t>NIST SP 800-53 Rev. 5</w:t>
            </w:r>
          </w:p>
        </w:tc>
        <w:tc>
          <w:tcPr>
            <w:tcW w:type="dxa" w:w="6520"/>
          </w:tcPr>
          <w:p>
            <w:r>
              <w:rPr>
                <w:rFonts w:ascii="Calibri" w:hAnsi="Calibri" w:cs="Calibri" w:eastAsia="Calibri"/>
                <w:b w:val="0"/>
                <w:i w:val="0"/>
                <w:sz w:val="18"/>
                <w:szCs w:val="18"/>
              </w:rPr>
              <w:t>PT-2, PT-3</w:t>
            </w:r>
          </w:p>
        </w:tc>
      </w:tr>
      <w:tr>
        <w:tc>
          <w:tcPr>
            <w:tcW w:type="dxa" w:w="2835"/>
            <w:shd w:val="clear" w:color="auto" w:fill="EAF0F7"/>
          </w:tcPr>
          <w:p>
            <w:r>
              <w:rPr>
                <w:rFonts w:ascii="Calibri" w:hAnsi="Calibri" w:cs="Calibri" w:eastAsia="Calibri"/>
                <w:b/>
                <w:i w:val="0"/>
                <w:sz w:val="18"/>
                <w:szCs w:val="18"/>
                <w:bCs/>
              </w:rPr>
              <w:t>Legal, Regulatory, and Other References</w:t>
            </w:r>
          </w:p>
        </w:tc>
        <w:tc>
          <w:tcPr>
            <w:tcW w:type="dxa" w:w="6520"/>
          </w:tcPr>
          <w:p>
            <w:r>
              <w:rPr>
                <w:rFonts w:ascii="Calibri" w:hAnsi="Calibri" w:cs="Calibri" w:eastAsia="Calibri"/>
                <w:b w:val="0"/>
                <w:i w:val="0"/>
                <w:sz w:val="18"/>
                <w:szCs w:val="18"/>
              </w:rPr>
              <w:t>PDPA s.39 (controller) and s.40 (processor)</w:t>
            </w:r>
          </w:p>
        </w:tc>
      </w:tr>
      <w:tr>
        <w:tc>
          <w:tcPr>
            <w:tcW w:type="dxa" w:w="2835"/>
            <w:shd w:val="clear" w:color="auto" w:fill="EAF0F7"/>
          </w:tcPr>
          <w:p>
            <w:r>
              <w:rPr>
                <w:rFonts w:ascii="Calibri" w:hAnsi="Calibri" w:cs="Calibri" w:eastAsia="Calibri"/>
                <w:b/>
                <w:i w:val="0"/>
                <w:sz w:val="18"/>
                <w:szCs w:val="18"/>
                <w:bCs/>
              </w:rPr>
              <w:t>Parent Documents</w:t>
            </w:r>
          </w:p>
        </w:tc>
        <w:tc>
          <w:tcPr>
            <w:tcW w:type="dxa" w:w="6520"/>
          </w:tcPr>
          <w:p>
            <w:r>
              <w:rPr>
                <w:rFonts w:ascii="Calibri" w:hAnsi="Calibri" w:cs="Calibri" w:eastAsia="Calibri"/>
                <w:b w:val="0"/>
                <w:i w:val="0"/>
                <w:sz w:val="18"/>
                <w:szCs w:val="18"/>
              </w:rPr>
              <w:t>GV-POL-004: Personal Data Protection Policy</w:t>
            </w:r>
          </w:p>
        </w:tc>
      </w:tr>
      <w:tr>
        <w:tc>
          <w:tcPr>
            <w:tcW w:type="dxa" w:w="2835"/>
            <w:shd w:val="clear" w:color="auto" w:fill="EAF0F7"/>
          </w:tcPr>
          <w:p>
            <w:r>
              <w:rPr>
                <w:rFonts w:ascii="Calibri" w:hAnsi="Calibri" w:cs="Calibri" w:eastAsia="Calibri"/>
                <w:b/>
                <w:i w:val="0"/>
                <w:sz w:val="18"/>
                <w:szCs w:val="18"/>
                <w:bCs/>
              </w:rPr>
              <w:t>Child Documents</w:t>
            </w:r>
          </w:p>
        </w:tc>
        <w:tc>
          <w:tcPr>
            <w:tcW w:type="dxa" w:w="6520"/>
          </w:tcPr>
          <w:p>
            <w:r>
              <w:rPr>
                <w:rFonts w:ascii="Calibri" w:hAnsi="Calibri" w:cs="Calibri" w:eastAsia="Calibri"/>
                <w:b w:val="0"/>
                <w:i w:val="0"/>
                <w:sz w:val="18"/>
                <w:szCs w:val="18"/>
              </w:rPr>
              <w:t>None</w:t>
            </w:r>
          </w:p>
        </w:tc>
      </w:tr>
    </w:tbl>
    <w:p>
      <w:pPr>
        <w:spacing w:after="40"/>
      </w:pP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alibri" w:hAnsi="Calibri" w:cs="Calibri" w:eastAsia="Calibri"/>
        <w:b w:val="0"/>
        <w:i w:val="0"/>
        <w:color w:val="595959"/>
        <w:sz w:val="16"/>
        <w:szCs w:val="16"/>
      </w:rPr>
      <w:t xml:space="preserve">Classification: Internal    Page </w:t>
    </w:r>
    <w:r>
      <w:rPr>
        <w:rFonts w:ascii="Calibri" w:hAnsi="Calibri" w:cs="Calibri" w:eastAsia="Calibri"/>
        <w:color w:val="595959"/>
        <w:sz w:val="16"/>
        <w:szCs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cs="Calibri" w:eastAsia="Calibri"/>
        <w:b w:val="0"/>
        <w:i w:val="0"/>
        <w:color w:val="595959"/>
        <w:sz w:val="16"/>
        <w:szCs w:val="16"/>
      </w:rPr>
      <w:t>Chaophraya Medical Center (CMC)  |  GV-REG-007  |  Record of Processing Activities (ROPA)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