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Privacy Notice Template</w:t>
      </w:r>
    </w:p>
    <w:p>
      <w:pPr>
        <w:spacing w:after="80" w:before="0"/>
      </w:pPr>
      <w:r>
        <w:rPr>
          <w:rFonts w:ascii="Calibri" w:hAnsi="Calibri" w:cs="Calibri" w:eastAsia="Calibri"/>
          <w:b w:val="0"/>
          <w:i w:val="0"/>
          <w:color w:val="595959"/>
          <w:sz w:val="18"/>
          <w:szCs w:val="18"/>
        </w:rPr>
        <w:t>GV-TPL-002  |  Template  |  Policy (GV.PO)</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GV-TPL-002</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Privacy Notice Template</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Data Protection Officer (DPO)</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Legal Counsel</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1 July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1 July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4: Form, Register, Record, Report, and Template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Template</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Govern (GV)</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Policy (GV.PO)</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Required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PDPA</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PDPA s.23</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Process, Legal and Regulatory, Privacy, Evidence</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Essential</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Required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1 May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Data Protection Officer (DPO)</w:t>
            </w:r>
          </w:p>
        </w:tc>
        <w:tc>
          <w:tcPr>
            <w:tcW w:type="dxa" w:w="1531"/>
          </w:tcPr>
          <w:p>
            <w:r/>
            <w:r>
              <w:rPr>
                <w:rFonts w:ascii="Calibri" w:hAnsi="Calibri" w:cs="Calibri" w:eastAsia="Calibri"/>
                <w:b w:val="0"/>
                <w:i w:val="0"/>
                <w:sz w:val="18"/>
                <w:szCs w:val="18"/>
              </w:rPr>
              <w:t>Legal Counsel</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1 July 2026</w:t>
            </w:r>
          </w:p>
        </w:tc>
        <w:tc>
          <w:tcPr>
            <w:tcW w:type="dxa" w:w="3742"/>
          </w:tcPr>
          <w:p>
            <w:r/>
            <w:r>
              <w:rPr>
                <w:rFonts w:ascii="Calibri" w:hAnsi="Calibri" w:cs="Calibri" w:eastAsia="Calibri"/>
                <w:b w:val="0"/>
                <w:i w:val="0"/>
                <w:sz w:val="18"/>
                <w:szCs w:val="18"/>
              </w:rPr>
              <w:t>Updated after the 2026 Management Review (MR-2026-01) to reflect the revised budget and ISSC decisions.</w:t>
            </w:r>
          </w:p>
        </w:tc>
        <w:tc>
          <w:tcPr>
            <w:tcW w:type="dxa" w:w="1587"/>
          </w:tcPr>
          <w:p>
            <w:r/>
            <w:r>
              <w:rPr>
                <w:rFonts w:ascii="Calibri" w:hAnsi="Calibri" w:cs="Calibri" w:eastAsia="Calibri"/>
                <w:b w:val="0"/>
                <w:i w:val="0"/>
                <w:sz w:val="18"/>
                <w:szCs w:val="18"/>
              </w:rPr>
              <w:t>Data Protection Officer (DPO)</w:t>
            </w:r>
          </w:p>
        </w:tc>
        <w:tc>
          <w:tcPr>
            <w:tcW w:type="dxa" w:w="1531"/>
          </w:tcPr>
          <w:p>
            <w:r/>
            <w:r>
              <w:rPr>
                <w:rFonts w:ascii="Calibri" w:hAnsi="Calibri" w:cs="Calibri" w:eastAsia="Calibri"/>
                <w:b w:val="0"/>
                <w:i w:val="0"/>
                <w:sz w:val="18"/>
                <w:szCs w:val="18"/>
              </w:rPr>
              <w:t>Legal Counsel</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template provides the structure and minimum content of a privacy notice that informs data subjects before or at collection, as required by PDPA s.23.</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template is used by the units and roles named in its parent document (GV-POL-004) and covers the activities that document defines.</w:t>
      </w:r>
    </w:p>
    <w:p>
      <w:pPr>
        <w:pStyle w:val="Heading2"/>
        <w:keepNext/>
        <w:spacing w:before="120" w:after="80"/>
      </w:pPr>
      <w:r>
        <w:rPr>
          <w:rFonts w:ascii="Calibri" w:hAnsi="Calibri" w:cs="Calibri" w:eastAsia="Calibri"/>
          <w:b/>
          <w:i w:val="0"/>
          <w:color w:val="1F3864"/>
          <w:sz w:val="24"/>
          <w:szCs w:val="24"/>
          <w:bCs/>
        </w:rPr>
        <w:t>4.3 Mandatory Content (PDPA s.23)</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Include every item that PDPA s.23 requires.</w:t>
            </w:r>
          </w:p>
        </w:tc>
      </w:tr>
    </w:tbl>
    <w:p>
      <w:pPr>
        <w:spacing w:after="0"/>
      </w:pPr>
    </w:p>
    <w:p>
      <w:pPr>
        <w:spacing w:after="40" w:before="0"/>
      </w:pPr>
      <w:r>
        <w:rPr>
          <w:rFonts w:ascii="Calibri" w:hAnsi="Calibri" w:cs="Calibri" w:eastAsia="Calibri"/>
          <w:b w:val="0"/>
          <w:i/>
          <w:color w:val="595959"/>
          <w:sz w:val="18"/>
          <w:szCs w:val="18"/>
        </w:rPr>
        <w:t>Sample content</w:t>
      </w:r>
    </w:p>
    <w:p>
      <w:pPr>
        <w:pStyle w:val="ListNumber"/>
        <w:spacing w:after="40"/>
      </w:pPr>
      <w:r>
        <w:rPr>
          <w:rFonts w:ascii="Calibri" w:hAnsi="Calibri" w:cs="Calibri" w:eastAsia="Calibri"/>
          <w:b w:val="0"/>
          <w:i w:val="0"/>
          <w:sz w:val="21"/>
          <w:szCs w:val="21"/>
        </w:rPr>
        <w:t>Purposes of collection, including any processing without consent under PDPA s.24.</w:t>
      </w:r>
    </w:p>
    <w:p>
      <w:pPr>
        <w:pStyle w:val="ListNumber"/>
        <w:spacing w:after="40"/>
      </w:pPr>
      <w:r>
        <w:rPr>
          <w:rFonts w:ascii="Calibri" w:hAnsi="Calibri" w:cs="Calibri" w:eastAsia="Calibri"/>
          <w:b w:val="0"/>
          <w:i w:val="0"/>
          <w:sz w:val="21"/>
          <w:szCs w:val="21"/>
        </w:rPr>
        <w:t>Whether the data is required by law or contract, and the consequence of not providing it.</w:t>
      </w:r>
    </w:p>
    <w:p>
      <w:pPr>
        <w:pStyle w:val="ListNumber"/>
        <w:spacing w:after="40"/>
      </w:pPr>
      <w:r>
        <w:rPr>
          <w:rFonts w:ascii="Calibri" w:hAnsi="Calibri" w:cs="Calibri" w:eastAsia="Calibri"/>
          <w:b w:val="0"/>
          <w:i w:val="0"/>
          <w:sz w:val="21"/>
          <w:szCs w:val="21"/>
        </w:rPr>
        <w:t>The personal data to be collected and the retention period, or the criteria for setting it.</w:t>
      </w:r>
    </w:p>
    <w:p>
      <w:pPr>
        <w:pStyle w:val="ListNumber"/>
        <w:spacing w:after="40"/>
      </w:pPr>
      <w:r>
        <w:rPr>
          <w:rFonts w:ascii="Calibri" w:hAnsi="Calibri" w:cs="Calibri" w:eastAsia="Calibri"/>
          <w:b w:val="0"/>
          <w:i w:val="0"/>
          <w:sz w:val="21"/>
          <w:szCs w:val="21"/>
        </w:rPr>
        <w:t>Categories of persons or entities to whom the data may be disclosed.</w:t>
      </w:r>
    </w:p>
    <w:p>
      <w:pPr>
        <w:pStyle w:val="ListNumber"/>
        <w:spacing w:after="40"/>
      </w:pPr>
      <w:r>
        <w:rPr>
          <w:rFonts w:ascii="Calibri" w:hAnsi="Calibri" w:cs="Calibri" w:eastAsia="Calibri"/>
          <w:b w:val="0"/>
          <w:i w:val="0"/>
          <w:sz w:val="21"/>
          <w:szCs w:val="21"/>
        </w:rPr>
        <w:t>Identity and contact details of the controller and, where appointed, the DPO.</w:t>
      </w:r>
    </w:p>
    <w:p>
      <w:pPr>
        <w:pStyle w:val="ListNumber"/>
        <w:spacing w:after="40"/>
      </w:pPr>
      <w:r>
        <w:rPr>
          <w:rFonts w:ascii="Calibri" w:hAnsi="Calibri" w:cs="Calibri" w:eastAsia="Calibri"/>
          <w:b w:val="0"/>
          <w:i w:val="0"/>
          <w:sz w:val="21"/>
          <w:szCs w:val="21"/>
        </w:rPr>
        <w:t>Data subject rights under PDPA s.30 to s.36 and how to exercise them.</w:t>
      </w:r>
    </w:p>
    <w:p>
      <w:pPr>
        <w:pStyle w:val="Heading2"/>
        <w:keepNext/>
        <w:spacing w:before="120" w:after="80"/>
      </w:pPr>
      <w:r>
        <w:rPr>
          <w:rFonts w:ascii="Calibri" w:hAnsi="Calibri" w:cs="Calibri" w:eastAsia="Calibri"/>
          <w:b/>
          <w:i w:val="0"/>
          <w:color w:val="1F3864"/>
          <w:sz w:val="24"/>
          <w:szCs w:val="24"/>
          <w:bCs/>
        </w:rPr>
        <w:t>4.4 Notice Structure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Organize the notice so data subjects find information quickly.</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2551"/>
        <w:gridCol w:w="6804"/>
      </w:tblGrid>
      <w:tr>
        <w:trPr>
          <w:tblHeader w:val="true"/>
        </w:trPr>
        <w:tc>
          <w:tcPr>
            <w:tcW w:type="dxa" w:w="2551"/>
            <w:shd w:val="clear" w:color="auto" w:fill="1F3864"/>
          </w:tcPr>
          <w:p>
            <w:r/>
            <w:r>
              <w:rPr>
                <w:rFonts w:ascii="Calibri" w:hAnsi="Calibri" w:cs="Calibri" w:eastAsia="Calibri"/>
                <w:b/>
                <w:i w:val="0"/>
                <w:color w:val="FFFFFF"/>
                <w:sz w:val="18"/>
                <w:szCs w:val="18"/>
                <w:bCs/>
              </w:rPr>
              <w:t>Section</w:t>
            </w:r>
          </w:p>
        </w:tc>
        <w:tc>
          <w:tcPr>
            <w:tcW w:type="dxa" w:w="6803"/>
            <w:shd w:val="clear" w:color="auto" w:fill="1F3864"/>
          </w:tcPr>
          <w:p>
            <w:r/>
            <w:r>
              <w:rPr>
                <w:rFonts w:ascii="Calibri" w:hAnsi="Calibri" w:cs="Calibri" w:eastAsia="Calibri"/>
                <w:b/>
                <w:i w:val="0"/>
                <w:color w:val="FFFFFF"/>
                <w:sz w:val="18"/>
                <w:szCs w:val="18"/>
                <w:bCs/>
              </w:rPr>
              <w:t>CMC patient notice text</w:t>
            </w:r>
          </w:p>
        </w:tc>
      </w:tr>
      <w:tr>
        <w:tc>
          <w:tcPr>
            <w:tcW w:type="dxa" w:w="2551"/>
          </w:tcPr>
          <w:p>
            <w:r/>
            <w:r>
              <w:rPr>
                <w:rFonts w:ascii="Calibri" w:hAnsi="Calibri" w:cs="Calibri" w:eastAsia="Calibri"/>
                <w:b w:val="0"/>
                <w:i w:val="0"/>
                <w:sz w:val="18"/>
                <w:szCs w:val="18"/>
              </w:rPr>
              <w:t>Who we are</w:t>
            </w:r>
          </w:p>
        </w:tc>
        <w:tc>
          <w:tcPr>
            <w:tcW w:type="dxa" w:w="6803"/>
          </w:tcPr>
          <w:p>
            <w:r/>
            <w:r>
              <w:rPr>
                <w:rFonts w:ascii="Calibri" w:hAnsi="Calibri" w:cs="Calibri" w:eastAsia="Calibri"/>
                <w:b w:val="0"/>
                <w:i w:val="0"/>
                <w:sz w:val="18"/>
                <w:szCs w:val="18"/>
              </w:rPr>
              <w:t>Chaophraya Medical Center (CMC) is the data controller. Contact our DPO at dpo@cmc.example or 02-000-0000 ext. 1234.</w:t>
            </w:r>
          </w:p>
        </w:tc>
      </w:tr>
      <w:tr>
        <w:tc>
          <w:tcPr>
            <w:tcW w:type="dxa" w:w="2551"/>
          </w:tcPr>
          <w:p>
            <w:r/>
            <w:r>
              <w:rPr>
                <w:rFonts w:ascii="Calibri" w:hAnsi="Calibri" w:cs="Calibri" w:eastAsia="Calibri"/>
                <w:b w:val="0"/>
                <w:i w:val="0"/>
                <w:sz w:val="18"/>
                <w:szCs w:val="18"/>
              </w:rPr>
              <w:t>What we collect</w:t>
            </w:r>
          </w:p>
        </w:tc>
        <w:tc>
          <w:tcPr>
            <w:tcW w:type="dxa" w:w="6803"/>
          </w:tcPr>
          <w:p>
            <w:r/>
            <w:r>
              <w:rPr>
                <w:rFonts w:ascii="Calibri" w:hAnsi="Calibri" w:cs="Calibri" w:eastAsia="Calibri"/>
                <w:b w:val="0"/>
                <w:i w:val="0"/>
                <w:sz w:val="18"/>
                <w:szCs w:val="18"/>
              </w:rPr>
              <w:t>Identity and contact details, national ID or passport number, insurance details, medical history, test results, and images.</w:t>
            </w:r>
          </w:p>
        </w:tc>
      </w:tr>
      <w:tr>
        <w:tc>
          <w:tcPr>
            <w:tcW w:type="dxa" w:w="2551"/>
          </w:tcPr>
          <w:p>
            <w:r/>
            <w:r>
              <w:rPr>
                <w:rFonts w:ascii="Calibri" w:hAnsi="Calibri" w:cs="Calibri" w:eastAsia="Calibri"/>
                <w:b w:val="0"/>
                <w:i w:val="0"/>
                <w:sz w:val="18"/>
                <w:szCs w:val="18"/>
              </w:rPr>
              <w:t>Why we collect it and on what basis</w:t>
            </w:r>
          </w:p>
        </w:tc>
        <w:tc>
          <w:tcPr>
            <w:tcW w:type="dxa" w:w="6803"/>
          </w:tcPr>
          <w:p>
            <w:r/>
            <w:r>
              <w:rPr>
                <w:rFonts w:ascii="Calibri" w:hAnsi="Calibri" w:cs="Calibri" w:eastAsia="Calibri"/>
                <w:b w:val="0"/>
                <w:i w:val="0"/>
                <w:sz w:val="18"/>
                <w:szCs w:val="18"/>
              </w:rPr>
              <w:t>Medical diagnosis and treatment (PDPA s.26(5)(a)); billing (contract); legal reporting to the Ministry of Public Health (legal obligation).</w:t>
            </w:r>
          </w:p>
        </w:tc>
      </w:tr>
      <w:tr>
        <w:tc>
          <w:tcPr>
            <w:tcW w:type="dxa" w:w="2551"/>
          </w:tcPr>
          <w:p>
            <w:r/>
            <w:r>
              <w:rPr>
                <w:rFonts w:ascii="Calibri" w:hAnsi="Calibri" w:cs="Calibri" w:eastAsia="Calibri"/>
                <w:b w:val="0"/>
                <w:i w:val="0"/>
                <w:sz w:val="18"/>
                <w:szCs w:val="18"/>
              </w:rPr>
              <w:t>Who we share it with</w:t>
            </w:r>
          </w:p>
        </w:tc>
        <w:tc>
          <w:tcPr>
            <w:tcW w:type="dxa" w:w="6803"/>
          </w:tcPr>
          <w:p>
            <w:r/>
            <w:r>
              <w:rPr>
                <w:rFonts w:ascii="Calibri" w:hAnsi="Calibri" w:cs="Calibri" w:eastAsia="Calibri"/>
                <w:b w:val="0"/>
                <w:i w:val="0"/>
                <w:sz w:val="18"/>
                <w:szCs w:val="18"/>
              </w:rPr>
              <w:t>Treating physicians, referral hospitals, insurers with your consent, and authorities when the law requires.</w:t>
            </w:r>
          </w:p>
        </w:tc>
      </w:tr>
      <w:tr>
        <w:tc>
          <w:tcPr>
            <w:tcW w:type="dxa" w:w="2551"/>
          </w:tcPr>
          <w:p>
            <w:r/>
            <w:r>
              <w:rPr>
                <w:rFonts w:ascii="Calibri" w:hAnsi="Calibri" w:cs="Calibri" w:eastAsia="Calibri"/>
                <w:b w:val="0"/>
                <w:i w:val="0"/>
                <w:sz w:val="18"/>
                <w:szCs w:val="18"/>
              </w:rPr>
              <w:t>How long we keep it</w:t>
            </w:r>
          </w:p>
        </w:tc>
        <w:tc>
          <w:tcPr>
            <w:tcW w:type="dxa" w:w="6803"/>
          </w:tcPr>
          <w:p>
            <w:r/>
            <w:r>
              <w:rPr>
                <w:rFonts w:ascii="Calibri" w:hAnsi="Calibri" w:cs="Calibri" w:eastAsia="Calibri"/>
                <w:b w:val="0"/>
                <w:i w:val="0"/>
                <w:sz w:val="18"/>
                <w:szCs w:val="18"/>
              </w:rPr>
              <w:t>Medical records are kept for the period required by health regulations [VERIFY].</w:t>
            </w:r>
          </w:p>
        </w:tc>
      </w:tr>
      <w:tr>
        <w:tc>
          <w:tcPr>
            <w:tcW w:type="dxa" w:w="2551"/>
          </w:tcPr>
          <w:p>
            <w:r/>
            <w:r>
              <w:rPr>
                <w:rFonts w:ascii="Calibri" w:hAnsi="Calibri" w:cs="Calibri" w:eastAsia="Calibri"/>
                <w:b w:val="0"/>
                <w:i w:val="0"/>
                <w:sz w:val="18"/>
                <w:szCs w:val="18"/>
              </w:rPr>
              <w:t>Your rights</w:t>
            </w:r>
          </w:p>
        </w:tc>
        <w:tc>
          <w:tcPr>
            <w:tcW w:type="dxa" w:w="6803"/>
          </w:tcPr>
          <w:p>
            <w:r/>
            <w:r>
              <w:rPr>
                <w:rFonts w:ascii="Calibri" w:hAnsi="Calibri" w:cs="Calibri" w:eastAsia="Calibri"/>
                <w:b w:val="0"/>
                <w:i w:val="0"/>
                <w:sz w:val="18"/>
                <w:szCs w:val="18"/>
              </w:rPr>
              <w:t>Submit requests at the Medical Records counter or through the patient portal using form GV-FRM-005.</w:t>
            </w:r>
          </w:p>
        </w:tc>
      </w:tr>
      <w:tr>
        <w:tc>
          <w:tcPr>
            <w:tcW w:type="dxa" w:w="2551"/>
          </w:tcPr>
          <w:p>
            <w:r/>
            <w:r>
              <w:rPr>
                <w:rFonts w:ascii="Calibri" w:hAnsi="Calibri" w:cs="Calibri" w:eastAsia="Calibri"/>
                <w:b w:val="0"/>
                <w:i w:val="0"/>
                <w:sz w:val="18"/>
                <w:szCs w:val="18"/>
              </w:rPr>
              <w:t>Changes to this notice</w:t>
            </w:r>
          </w:p>
        </w:tc>
        <w:tc>
          <w:tcPr>
            <w:tcW w:type="dxa" w:w="6803"/>
          </w:tcPr>
          <w:p>
            <w:r/>
            <w:r>
              <w:rPr>
                <w:rFonts w:ascii="Calibri" w:hAnsi="Calibri" w:cs="Calibri" w:eastAsia="Calibri"/>
                <w:b w:val="0"/>
                <w:i w:val="0"/>
                <w:sz w:val="18"/>
                <w:szCs w:val="18"/>
              </w:rPr>
              <w:t>Version 1.1, effective 1 July 2026. Changes are posted on the CMC website and at registration counters.</w:t>
            </w:r>
          </w:p>
        </w:tc>
      </w:tr>
    </w:tbl>
    <w:p>
      <w:pPr>
        <w:spacing w:after="40"/>
      </w:pP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Use layered notices: a short summary at the point of collection with a link to the full notice.</w:t>
      </w:r>
    </w:p>
    <w:p>
      <w:pPr>
        <w:pStyle w:val="ListBullet"/>
        <w:spacing w:after="40"/>
      </w:pPr>
      <w:r>
        <w:rPr>
          <w:rFonts w:ascii="Calibri" w:hAnsi="Calibri" w:cs="Calibri" w:eastAsia="Calibri"/>
          <w:b w:val="0"/>
          <w:i w:val="0"/>
          <w:sz w:val="21"/>
          <w:szCs w:val="21"/>
        </w:rPr>
        <w:t>Prepare separate notices for each data subject group, such as customers, employees, job applicants, and CCTV.</w:t>
      </w:r>
    </w:p>
    <w:p>
      <w:pPr>
        <w:pStyle w:val="ListBullet"/>
        <w:spacing w:after="40"/>
      </w:pPr>
      <w:r>
        <w:rPr>
          <w:rFonts w:ascii="Calibri" w:hAnsi="Calibri" w:cs="Calibri" w:eastAsia="Calibri"/>
          <w:b w:val="0"/>
          <w:i w:val="0"/>
          <w:sz w:val="21"/>
          <w:szCs w:val="21"/>
        </w:rPr>
        <w:t>Provide Thai and English versions where data subjects include foreigners.</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Writing a notice in legal language that data subjects cannot understand.</w:t>
      </w:r>
    </w:p>
    <w:p>
      <w:pPr>
        <w:pStyle w:val="ListBullet"/>
        <w:spacing w:after="40"/>
      </w:pPr>
      <w:r>
        <w:rPr>
          <w:rFonts w:ascii="Calibri" w:hAnsi="Calibri" w:cs="Calibri" w:eastAsia="Calibri"/>
          <w:b w:val="0"/>
          <w:i w:val="0"/>
          <w:sz w:val="21"/>
          <w:szCs w:val="21"/>
        </w:rPr>
        <w:t>Bundling the privacy notice and consent into one checkbox.</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GV.OC-03: Legal, regulatory, and contractual cybersecurity requirements are understood and managed</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A.5.34</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PT-5</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PDPA s.23</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GV-POL-004: Personal Data Protection Policy</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GV-TPL-002  |  Privacy Notice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