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DPIA Template</w:t>
      </w:r>
    </w:p>
    <w:p>
      <w:pPr>
        <w:spacing w:after="80" w:before="0"/>
      </w:pPr>
      <w:r>
        <w:rPr>
          <w:rFonts w:ascii="Calibri" w:hAnsi="Calibri" w:cs="Calibri" w:eastAsia="Calibri"/>
          <w:b w:val="0"/>
          <w:i w:val="0"/>
          <w:color w:val="595959"/>
          <w:sz w:val="18"/>
          <w:szCs w:val="18"/>
        </w:rPr>
        <w:t>GV-TPL-003  |  Template  |  Policy (GV.PO)</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GV-TPL-003</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DPIA Template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Data Protection Officer (DPO)</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Data Protection Officer (DPO)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23 June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23 June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Template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Policy (GV.PO)</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PDPA</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Supports PDPA s.37(1)</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Legal and Regulatory, Privacy,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15 August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Data Protection Officer (DPO)</w:t>
            </w:r>
          </w:p>
        </w:tc>
        <w:tc>
          <w:tcPr>
            <w:tcW w:type="dxa" w:w="1531"/>
          </w:tcPr>
          <w:p>
            <w:r/>
            <w:r>
              <w:rPr>
                <w:rFonts w:ascii="Calibri" w:hAnsi="Calibri" w:cs="Calibri" w:eastAsia="Calibri"/>
                <w:b w:val="0"/>
                <w:i w:val="0"/>
                <w:sz w:val="18"/>
                <w:szCs w:val="18"/>
              </w:rPr>
              <w:t>Data Protection Officer (DPO)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23 June 2026</w:t>
            </w:r>
          </w:p>
        </w:tc>
        <w:tc>
          <w:tcPr>
            <w:tcW w:type="dxa" w:w="3742"/>
          </w:tcPr>
          <w:p>
            <w:r/>
            <w:r>
              <w:rPr>
                <w:rFonts w:ascii="Calibri" w:hAnsi="Calibri" w:cs="Calibri" w:eastAsia="Calibri"/>
                <w:b w:val="0"/>
                <w:i w:val="0"/>
                <w:sz w:val="18"/>
                <w:szCs w:val="18"/>
              </w:rPr>
              <w:t>Updated after the 2026 Management Review (MR-2026-01) to reflect the revised budget and ISSC decisions.</w:t>
            </w:r>
          </w:p>
        </w:tc>
        <w:tc>
          <w:tcPr>
            <w:tcW w:type="dxa" w:w="1587"/>
          </w:tcPr>
          <w:p>
            <w:r/>
            <w:r>
              <w:rPr>
                <w:rFonts w:ascii="Calibri" w:hAnsi="Calibri" w:cs="Calibri" w:eastAsia="Calibri"/>
                <w:b w:val="0"/>
                <w:i w:val="0"/>
                <w:sz w:val="18"/>
                <w:szCs w:val="18"/>
              </w:rPr>
              <w:t>Data Protection Officer (DPO)</w:t>
            </w:r>
          </w:p>
        </w:tc>
        <w:tc>
          <w:tcPr>
            <w:tcW w:type="dxa" w:w="1531"/>
          </w:tcPr>
          <w:p>
            <w:r/>
            <w:r>
              <w:rPr>
                <w:rFonts w:ascii="Calibri" w:hAnsi="Calibri" w:cs="Calibri" w:eastAsia="Calibri"/>
                <w:b w:val="0"/>
                <w:i w:val="0"/>
                <w:sz w:val="18"/>
                <w:szCs w:val="18"/>
              </w:rPr>
              <w:t>Data Protection Officer (DPO)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template records a data protection impact assessment, including the description of processing, necessity, risks to individuals, and measures to reduce them.</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template is used by the units and roles named in its parent document (GV-PRC-004) and covers the activities that document defines.</w:t>
      </w:r>
    </w:p>
    <w:p>
      <w:pPr>
        <w:pStyle w:val="Heading2"/>
        <w:keepNext/>
        <w:spacing w:before="120" w:after="80"/>
      </w:pPr>
      <w:r>
        <w:rPr>
          <w:rFonts w:ascii="Calibri" w:hAnsi="Calibri" w:cs="Calibri" w:eastAsia="Calibri"/>
          <w:b/>
          <w:i w:val="0"/>
          <w:color w:val="1F3864"/>
          <w:sz w:val="24"/>
          <w:szCs w:val="24"/>
          <w:bCs/>
        </w:rPr>
        <w:t>4.3 Description of Processing</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Describe the nature, scope, context, and purposes of processing.</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3685"/>
        <w:gridCol w:w="5670"/>
      </w:tblGrid>
      <w:tr>
        <w:trPr>
          <w:tblHeader w:val="true"/>
        </w:trPr>
        <w:tc>
          <w:tcPr>
            <w:tcW w:type="dxa" w:w="3685"/>
            <w:shd w:val="clear" w:color="auto" w:fill="1F3864"/>
          </w:tcPr>
          <w:p>
            <w:r/>
            <w:r>
              <w:rPr>
                <w:rFonts w:ascii="Calibri" w:hAnsi="Calibri" w:cs="Calibri" w:eastAsia="Calibri"/>
                <w:b/>
                <w:i w:val="0"/>
                <w:color w:val="FFFFFF"/>
                <w:sz w:val="18"/>
                <w:szCs w:val="18"/>
                <w:bCs/>
              </w:rPr>
              <w:t>Item</w:t>
            </w:r>
          </w:p>
        </w:tc>
        <w:tc>
          <w:tcPr>
            <w:tcW w:type="dxa" w:w="5669"/>
            <w:shd w:val="clear" w:color="auto" w:fill="1F3864"/>
          </w:tcPr>
          <w:p>
            <w:r/>
            <w:r>
              <w:rPr>
                <w:rFonts w:ascii="Calibri" w:hAnsi="Calibri" w:cs="Calibri" w:eastAsia="Calibri"/>
                <w:b/>
                <w:i w:val="0"/>
                <w:color w:val="FFFFFF"/>
                <w:sz w:val="18"/>
                <w:szCs w:val="18"/>
                <w:bCs/>
              </w:rPr>
              <w:t>Response</w:t>
            </w:r>
          </w:p>
        </w:tc>
      </w:tr>
      <w:tr>
        <w:tc>
          <w:tcPr>
            <w:tcW w:type="dxa" w:w="3685"/>
          </w:tcPr>
          <w:p>
            <w:r/>
            <w:r>
              <w:rPr>
                <w:rFonts w:ascii="Calibri" w:hAnsi="Calibri" w:cs="Calibri" w:eastAsia="Calibri"/>
                <w:b w:val="0"/>
                <w:i w:val="0"/>
                <w:sz w:val="18"/>
                <w:szCs w:val="18"/>
              </w:rPr>
              <w:t>Project name and owner</w:t>
            </w:r>
          </w:p>
        </w:tc>
        <w:tc>
          <w:tcPr>
            <w:tcW w:type="dxa" w:w="5669"/>
          </w:tcPr>
          <w:p>
            <w:r/>
            <w:r>
              <w:rPr>
                <w:rFonts w:ascii="Calibri" w:hAnsi="Calibri" w:cs="Calibri" w:eastAsia="Calibri"/>
                <w:b w:val="0"/>
                <w:i w:val="0"/>
                <w:sz w:val="18"/>
                <w:szCs w:val="18"/>
              </w:rPr>
              <w:t>Microsoft 365 Copilot clinical documentation pilot; Medical Director</w:t>
            </w:r>
          </w:p>
        </w:tc>
      </w:tr>
      <w:tr>
        <w:tc>
          <w:tcPr>
            <w:tcW w:type="dxa" w:w="3685"/>
          </w:tcPr>
          <w:p>
            <w:r/>
            <w:r>
              <w:rPr>
                <w:rFonts w:ascii="Calibri" w:hAnsi="Calibri" w:cs="Calibri" w:eastAsia="Calibri"/>
                <w:b w:val="0"/>
                <w:i w:val="0"/>
                <w:sz w:val="18"/>
                <w:szCs w:val="18"/>
              </w:rPr>
              <w:t>Purpose of processing</w:t>
            </w:r>
          </w:p>
        </w:tc>
        <w:tc>
          <w:tcPr>
            <w:tcW w:type="dxa" w:w="5669"/>
          </w:tcPr>
          <w:p>
            <w:r/>
            <w:r>
              <w:rPr>
                <w:rFonts w:ascii="Calibri" w:hAnsi="Calibri" w:cs="Calibri" w:eastAsia="Calibri"/>
                <w:b w:val="0"/>
                <w:i w:val="0"/>
                <w:sz w:val="18"/>
                <w:szCs w:val="18"/>
              </w:rPr>
              <w:t>Draft discharge summaries from physician notes to reduce documentation time</w:t>
            </w:r>
          </w:p>
        </w:tc>
      </w:tr>
      <w:tr>
        <w:tc>
          <w:tcPr>
            <w:tcW w:type="dxa" w:w="3685"/>
          </w:tcPr>
          <w:p>
            <w:r/>
            <w:r>
              <w:rPr>
                <w:rFonts w:ascii="Calibri" w:hAnsi="Calibri" w:cs="Calibri" w:eastAsia="Calibri"/>
                <w:b w:val="0"/>
                <w:i w:val="0"/>
                <w:sz w:val="18"/>
                <w:szCs w:val="18"/>
              </w:rPr>
              <w:t>Data subjects and volume</w:t>
            </w:r>
          </w:p>
        </w:tc>
        <w:tc>
          <w:tcPr>
            <w:tcW w:type="dxa" w:w="5669"/>
          </w:tcPr>
          <w:p>
            <w:r/>
            <w:r>
              <w:rPr>
                <w:rFonts w:ascii="Calibri" w:hAnsi="Calibri" w:cs="Calibri" w:eastAsia="Calibri"/>
                <w:b w:val="0"/>
                <w:i w:val="0"/>
                <w:sz w:val="18"/>
                <w:szCs w:val="18"/>
              </w:rPr>
              <w:t>Inpatients of two wards; about 400 patients per month</w:t>
            </w:r>
          </w:p>
        </w:tc>
      </w:tr>
      <w:tr>
        <w:tc>
          <w:tcPr>
            <w:tcW w:type="dxa" w:w="3685"/>
          </w:tcPr>
          <w:p>
            <w:r/>
            <w:r>
              <w:rPr>
                <w:rFonts w:ascii="Calibri" w:hAnsi="Calibri" w:cs="Calibri" w:eastAsia="Calibri"/>
                <w:b w:val="0"/>
                <w:i w:val="0"/>
                <w:sz w:val="18"/>
                <w:szCs w:val="18"/>
              </w:rPr>
              <w:t>Personal data categories</w:t>
            </w:r>
          </w:p>
        </w:tc>
        <w:tc>
          <w:tcPr>
            <w:tcW w:type="dxa" w:w="5669"/>
          </w:tcPr>
          <w:p>
            <w:r/>
            <w:r>
              <w:rPr>
                <w:rFonts w:ascii="Calibri" w:hAnsi="Calibri" w:cs="Calibri" w:eastAsia="Calibri"/>
                <w:b w:val="0"/>
                <w:i w:val="0"/>
                <w:sz w:val="18"/>
                <w:szCs w:val="18"/>
              </w:rPr>
              <w:t>Diagnosis, medications, procedures (sensitive health data)</w:t>
            </w:r>
          </w:p>
        </w:tc>
      </w:tr>
      <w:tr>
        <w:tc>
          <w:tcPr>
            <w:tcW w:type="dxa" w:w="3685"/>
          </w:tcPr>
          <w:p>
            <w:r/>
            <w:r>
              <w:rPr>
                <w:rFonts w:ascii="Calibri" w:hAnsi="Calibri" w:cs="Calibri" w:eastAsia="Calibri"/>
                <w:b w:val="0"/>
                <w:i w:val="0"/>
                <w:sz w:val="18"/>
                <w:szCs w:val="18"/>
              </w:rPr>
              <w:t>Systems and data flows</w:t>
            </w:r>
          </w:p>
        </w:tc>
        <w:tc>
          <w:tcPr>
            <w:tcW w:type="dxa" w:w="5669"/>
          </w:tcPr>
          <w:p>
            <w:r/>
            <w:r>
              <w:rPr>
                <w:rFonts w:ascii="Calibri" w:hAnsi="Calibri" w:cs="Calibri" w:eastAsia="Calibri"/>
                <w:b w:val="0"/>
                <w:i w:val="0"/>
                <w:sz w:val="18"/>
                <w:szCs w:val="18"/>
              </w:rPr>
              <w:t>HIS export to Microsoft 365 tenant in the CMC subscription; no data used to train vendor models per contract</w:t>
            </w:r>
          </w:p>
        </w:tc>
      </w:tr>
      <w:tr>
        <w:tc>
          <w:tcPr>
            <w:tcW w:type="dxa" w:w="3685"/>
          </w:tcPr>
          <w:p>
            <w:r/>
            <w:r>
              <w:rPr>
                <w:rFonts w:ascii="Calibri" w:hAnsi="Calibri" w:cs="Calibri" w:eastAsia="Calibri"/>
                <w:b w:val="0"/>
                <w:i w:val="0"/>
                <w:sz w:val="18"/>
                <w:szCs w:val="18"/>
              </w:rPr>
              <w:t>Recipients and processors</w:t>
            </w:r>
          </w:p>
        </w:tc>
        <w:tc>
          <w:tcPr>
            <w:tcW w:type="dxa" w:w="5669"/>
          </w:tcPr>
          <w:p>
            <w:r/>
            <w:r>
              <w:rPr>
                <w:rFonts w:ascii="Calibri" w:hAnsi="Calibri" w:cs="Calibri" w:eastAsia="Calibri"/>
                <w:b w:val="0"/>
                <w:i w:val="0"/>
                <w:sz w:val="18"/>
                <w:szCs w:val="18"/>
              </w:rPr>
              <w:t>Microsoft (processor) under enterprise data protection terms</w:t>
            </w:r>
          </w:p>
        </w:tc>
      </w:tr>
      <w:tr>
        <w:tc>
          <w:tcPr>
            <w:tcW w:type="dxa" w:w="3685"/>
          </w:tcPr>
          <w:p>
            <w:r/>
            <w:r>
              <w:rPr>
                <w:rFonts w:ascii="Calibri" w:hAnsi="Calibri" w:cs="Calibri" w:eastAsia="Calibri"/>
                <w:b w:val="0"/>
                <w:i w:val="0"/>
                <w:sz w:val="18"/>
                <w:szCs w:val="18"/>
              </w:rPr>
              <w:t>Retention period</w:t>
            </w:r>
          </w:p>
        </w:tc>
        <w:tc>
          <w:tcPr>
            <w:tcW w:type="dxa" w:w="5669"/>
          </w:tcPr>
          <w:p>
            <w:r/>
            <w:r>
              <w:rPr>
                <w:rFonts w:ascii="Calibri" w:hAnsi="Calibri" w:cs="Calibri" w:eastAsia="Calibri"/>
                <w:b w:val="0"/>
                <w:i w:val="0"/>
                <w:sz w:val="18"/>
                <w:szCs w:val="18"/>
              </w:rPr>
              <w:t>Drafts deleted after 30 days; signed summary stored in HIS</w:t>
            </w:r>
          </w:p>
        </w:tc>
      </w:tr>
    </w:tbl>
    <w:p>
      <w:pPr>
        <w:spacing w:after="40"/>
      </w:pPr>
    </w:p>
    <w:p>
      <w:pPr>
        <w:pStyle w:val="Heading2"/>
        <w:keepNext/>
        <w:spacing w:before="120" w:after="80"/>
      </w:pPr>
      <w:r>
        <w:rPr>
          <w:rFonts w:ascii="Calibri" w:hAnsi="Calibri" w:cs="Calibri" w:eastAsia="Calibri"/>
          <w:b/>
          <w:i w:val="0"/>
          <w:color w:val="1F3864"/>
          <w:sz w:val="24"/>
          <w:szCs w:val="24"/>
          <w:bCs/>
        </w:rPr>
        <w:t>4.4 Necessity and Proportionality</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Explain the lawful basis and why the processing is necessary and proportionate.</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Lawful basis: PDPA s.26(5)(a) medical diagnosis and treatment. Only the minimum note sections are exported. Physicians review every draft before signing. The patient privacy notice was updated in July 2026.</w:t>
      </w:r>
    </w:p>
    <w:p>
      <w:pPr>
        <w:pStyle w:val="Heading2"/>
        <w:keepNext/>
        <w:spacing w:before="120" w:after="80"/>
      </w:pPr>
      <w:r>
        <w:rPr>
          <w:rFonts w:ascii="Calibri" w:hAnsi="Calibri" w:cs="Calibri" w:eastAsia="Calibri"/>
          <w:b/>
          <w:i w:val="0"/>
          <w:color w:val="1F3864"/>
          <w:sz w:val="24"/>
          <w:szCs w:val="24"/>
          <w:bCs/>
        </w:rPr>
        <w:t>4.5 Risk Assessment and Measures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Assess each risk to individuals and record measures and residual risk.</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rPr>
          <w:tblHeader w:val="true"/>
        </w:trPr>
        <w:tc>
          <w:tcPr>
            <w:tcW w:type="dxa" w:w="1871"/>
            <w:shd w:val="clear" w:color="auto" w:fill="1F3864"/>
          </w:tcPr>
          <w:p>
            <w:r/>
            <w:r>
              <w:rPr>
                <w:rFonts w:ascii="Calibri" w:hAnsi="Calibri" w:cs="Calibri" w:eastAsia="Calibri"/>
                <w:b/>
                <w:i w:val="0"/>
                <w:color w:val="FFFFFF"/>
                <w:sz w:val="18"/>
                <w:szCs w:val="18"/>
                <w:bCs/>
              </w:rPr>
              <w:t>Risk to individuals</w:t>
            </w:r>
          </w:p>
        </w:tc>
        <w:tc>
          <w:tcPr>
            <w:tcW w:type="dxa" w:w="1871"/>
            <w:shd w:val="clear" w:color="auto" w:fill="1F3864"/>
          </w:tcPr>
          <w:p>
            <w:r/>
            <w:r>
              <w:rPr>
                <w:rFonts w:ascii="Calibri" w:hAnsi="Calibri" w:cs="Calibri" w:eastAsia="Calibri"/>
                <w:b/>
                <w:i w:val="0"/>
                <w:color w:val="FFFFFF"/>
                <w:sz w:val="18"/>
                <w:szCs w:val="18"/>
                <w:bCs/>
              </w:rPr>
              <w:t>Likelihood</w:t>
            </w:r>
          </w:p>
        </w:tc>
        <w:tc>
          <w:tcPr>
            <w:tcW w:type="dxa" w:w="1871"/>
            <w:shd w:val="clear" w:color="auto" w:fill="1F3864"/>
          </w:tcPr>
          <w:p>
            <w:r/>
            <w:r>
              <w:rPr>
                <w:rFonts w:ascii="Calibri" w:hAnsi="Calibri" w:cs="Calibri" w:eastAsia="Calibri"/>
                <w:b/>
                <w:i w:val="0"/>
                <w:color w:val="FFFFFF"/>
                <w:sz w:val="18"/>
                <w:szCs w:val="18"/>
                <w:bCs/>
              </w:rPr>
              <w:t>Impact</w:t>
            </w:r>
          </w:p>
        </w:tc>
        <w:tc>
          <w:tcPr>
            <w:tcW w:type="dxa" w:w="1871"/>
            <w:shd w:val="clear" w:color="auto" w:fill="1F3864"/>
          </w:tcPr>
          <w:p>
            <w:r/>
            <w:r>
              <w:rPr>
                <w:rFonts w:ascii="Calibri" w:hAnsi="Calibri" w:cs="Calibri" w:eastAsia="Calibri"/>
                <w:b/>
                <w:i w:val="0"/>
                <w:color w:val="FFFFFF"/>
                <w:sz w:val="18"/>
                <w:szCs w:val="18"/>
                <w:bCs/>
              </w:rPr>
              <w:t>Measures</w:t>
            </w:r>
          </w:p>
        </w:tc>
        <w:tc>
          <w:tcPr>
            <w:tcW w:type="dxa" w:w="1871"/>
            <w:shd w:val="clear" w:color="auto" w:fill="1F3864"/>
          </w:tcPr>
          <w:p>
            <w:r/>
            <w:r>
              <w:rPr>
                <w:rFonts w:ascii="Calibri" w:hAnsi="Calibri" w:cs="Calibri" w:eastAsia="Calibri"/>
                <w:b/>
                <w:i w:val="0"/>
                <w:color w:val="FFFFFF"/>
                <w:sz w:val="18"/>
                <w:szCs w:val="18"/>
                <w:bCs/>
              </w:rPr>
              <w:t>Residual risk</w:t>
            </w:r>
          </w:p>
        </w:tc>
      </w:tr>
      <w:tr>
        <w:tc>
          <w:tcPr>
            <w:tcW w:type="dxa" w:w="1871"/>
          </w:tcPr>
          <w:p>
            <w:r/>
            <w:r>
              <w:rPr>
                <w:rFonts w:ascii="Calibri" w:hAnsi="Calibri" w:cs="Calibri" w:eastAsia="Calibri"/>
                <w:b w:val="0"/>
                <w:i w:val="0"/>
                <w:sz w:val="18"/>
                <w:szCs w:val="18"/>
              </w:rPr>
              <w:t>Inaccurate AI draft leads to wrong discharge medication</w:t>
            </w:r>
          </w:p>
        </w:tc>
        <w:tc>
          <w:tcPr>
            <w:tcW w:type="dxa" w:w="1871"/>
          </w:tcPr>
          <w:p>
            <w:r/>
            <w:r>
              <w:rPr>
                <w:rFonts w:ascii="Calibri" w:hAnsi="Calibri" w:cs="Calibri" w:eastAsia="Calibri"/>
                <w:b w:val="0"/>
                <w:i w:val="0"/>
                <w:sz w:val="18"/>
                <w:szCs w:val="18"/>
              </w:rPr>
              <w:t>Possible</w:t>
            </w:r>
          </w:p>
        </w:tc>
        <w:tc>
          <w:tcPr>
            <w:tcW w:type="dxa" w:w="1871"/>
          </w:tcPr>
          <w:p>
            <w:r/>
            <w:r>
              <w:rPr>
                <w:rFonts w:ascii="Calibri" w:hAnsi="Calibri" w:cs="Calibri" w:eastAsia="Calibri"/>
                <w:b w:val="0"/>
                <w:i w:val="0"/>
                <w:sz w:val="18"/>
                <w:szCs w:val="18"/>
              </w:rPr>
              <w:t>Major</w:t>
            </w:r>
          </w:p>
        </w:tc>
        <w:tc>
          <w:tcPr>
            <w:tcW w:type="dxa" w:w="1871"/>
          </w:tcPr>
          <w:p>
            <w:r/>
            <w:r>
              <w:rPr>
                <w:rFonts w:ascii="Calibri" w:hAnsi="Calibri" w:cs="Calibri" w:eastAsia="Calibri"/>
                <w:b w:val="0"/>
                <w:i w:val="0"/>
                <w:sz w:val="18"/>
                <w:szCs w:val="18"/>
              </w:rPr>
              <w:t>Mandatory physician review; pharmacist check unchanged</w:t>
            </w:r>
          </w:p>
        </w:tc>
        <w:tc>
          <w:tcPr>
            <w:tcW w:type="dxa" w:w="1871"/>
          </w:tcPr>
          <w:p>
            <w:r/>
            <w:r>
              <w:rPr>
                <w:rFonts w:ascii="Calibri" w:hAnsi="Calibri" w:cs="Calibri" w:eastAsia="Calibri"/>
                <w:b w:val="0"/>
                <w:i w:val="0"/>
                <w:sz w:val="18"/>
                <w:szCs w:val="18"/>
              </w:rPr>
              <w:t>Low</w:t>
            </w:r>
          </w:p>
        </w:tc>
      </w:tr>
      <w:tr>
        <w:tc>
          <w:tcPr>
            <w:tcW w:type="dxa" w:w="1871"/>
          </w:tcPr>
          <w:p>
            <w:r/>
            <w:r>
              <w:rPr>
                <w:rFonts w:ascii="Calibri" w:hAnsi="Calibri" w:cs="Calibri" w:eastAsia="Calibri"/>
                <w:b w:val="0"/>
                <w:i w:val="0"/>
                <w:sz w:val="18"/>
                <w:szCs w:val="18"/>
              </w:rPr>
              <w:t>Unauthorized staff view patient drafts</w:t>
            </w:r>
          </w:p>
        </w:tc>
        <w:tc>
          <w:tcPr>
            <w:tcW w:type="dxa" w:w="1871"/>
          </w:tcPr>
          <w:p>
            <w:r/>
            <w:r>
              <w:rPr>
                <w:rFonts w:ascii="Calibri" w:hAnsi="Calibri" w:cs="Calibri" w:eastAsia="Calibri"/>
                <w:b w:val="0"/>
                <w:i w:val="0"/>
                <w:sz w:val="18"/>
                <w:szCs w:val="18"/>
              </w:rPr>
              <w:t>Unlikely</w:t>
            </w:r>
          </w:p>
        </w:tc>
        <w:tc>
          <w:tcPr>
            <w:tcW w:type="dxa" w:w="1871"/>
          </w:tcPr>
          <w:p>
            <w:r/>
            <w:r>
              <w:rPr>
                <w:rFonts w:ascii="Calibri" w:hAnsi="Calibri" w:cs="Calibri" w:eastAsia="Calibri"/>
                <w:b w:val="0"/>
                <w:i w:val="0"/>
                <w:sz w:val="18"/>
                <w:szCs w:val="18"/>
              </w:rPr>
              <w:t>Major</w:t>
            </w:r>
          </w:p>
        </w:tc>
        <w:tc>
          <w:tcPr>
            <w:tcW w:type="dxa" w:w="1871"/>
          </w:tcPr>
          <w:p>
            <w:r/>
            <w:r>
              <w:rPr>
                <w:rFonts w:ascii="Calibri" w:hAnsi="Calibri" w:cs="Calibri" w:eastAsia="Calibri"/>
                <w:b w:val="0"/>
                <w:i w:val="0"/>
                <w:sz w:val="18"/>
                <w:szCs w:val="18"/>
              </w:rPr>
              <w:t>Sensitivity labels; access limited to ward teams</w:t>
            </w:r>
          </w:p>
        </w:tc>
        <w:tc>
          <w:tcPr>
            <w:tcW w:type="dxa" w:w="1871"/>
          </w:tcPr>
          <w:p>
            <w:r/>
            <w:r>
              <w:rPr>
                <w:rFonts w:ascii="Calibri" w:hAnsi="Calibri" w:cs="Calibri" w:eastAsia="Calibri"/>
                <w:b w:val="0"/>
                <w:i w:val="0"/>
                <w:sz w:val="18"/>
                <w:szCs w:val="18"/>
              </w:rPr>
              <w:t>Low</w:t>
            </w:r>
          </w:p>
        </w:tc>
      </w:tr>
      <w:tr>
        <w:tc>
          <w:tcPr>
            <w:tcW w:type="dxa" w:w="1871"/>
          </w:tcPr>
          <w:p>
            <w:r/>
            <w:r>
              <w:rPr>
                <w:rFonts w:ascii="Calibri" w:hAnsi="Calibri" w:cs="Calibri" w:eastAsia="Calibri"/>
                <w:b w:val="0"/>
                <w:i w:val="0"/>
                <w:sz w:val="18"/>
                <w:szCs w:val="18"/>
              </w:rPr>
              <w:t>Data processed outside approved region</w:t>
            </w:r>
          </w:p>
        </w:tc>
        <w:tc>
          <w:tcPr>
            <w:tcW w:type="dxa" w:w="1871"/>
          </w:tcPr>
          <w:p>
            <w:r/>
            <w:r>
              <w:rPr>
                <w:rFonts w:ascii="Calibri" w:hAnsi="Calibri" w:cs="Calibri" w:eastAsia="Calibri"/>
                <w:b w:val="0"/>
                <w:i w:val="0"/>
                <w:sz w:val="18"/>
                <w:szCs w:val="18"/>
              </w:rPr>
              <w:t>Unlikely</w:t>
            </w:r>
          </w:p>
        </w:tc>
        <w:tc>
          <w:tcPr>
            <w:tcW w:type="dxa" w:w="1871"/>
          </w:tcPr>
          <w:p>
            <w:r/>
            <w:r>
              <w:rPr>
                <w:rFonts w:ascii="Calibri" w:hAnsi="Calibri" w:cs="Calibri" w:eastAsia="Calibri"/>
                <w:b w:val="0"/>
                <w:i w:val="0"/>
                <w:sz w:val="18"/>
                <w:szCs w:val="18"/>
              </w:rPr>
              <w:t>Moderate</w:t>
            </w:r>
          </w:p>
        </w:tc>
        <w:tc>
          <w:tcPr>
            <w:tcW w:type="dxa" w:w="1871"/>
          </w:tcPr>
          <w:p>
            <w:r/>
            <w:r>
              <w:rPr>
                <w:rFonts w:ascii="Calibri" w:hAnsi="Calibri" w:cs="Calibri" w:eastAsia="Calibri"/>
                <w:b w:val="0"/>
                <w:i w:val="0"/>
                <w:sz w:val="18"/>
                <w:szCs w:val="18"/>
              </w:rPr>
              <w:t>Contract terms and tenant data residency settings reviewed</w:t>
            </w:r>
          </w:p>
        </w:tc>
        <w:tc>
          <w:tcPr>
            <w:tcW w:type="dxa" w:w="1871"/>
          </w:tcPr>
          <w:p>
            <w:r/>
            <w:r>
              <w:rPr>
                <w:rFonts w:ascii="Calibri" w:hAnsi="Calibri" w:cs="Calibri" w:eastAsia="Calibri"/>
                <w:b w:val="0"/>
                <w:i w:val="0"/>
                <w:sz w:val="18"/>
                <w:szCs w:val="18"/>
              </w:rPr>
              <w:t>Low</w:t>
            </w:r>
          </w:p>
        </w:tc>
      </w:tr>
    </w:tbl>
    <w:p>
      <w:pPr>
        <w:spacing w:after="40"/>
      </w:pPr>
    </w:p>
    <w:p>
      <w:pPr>
        <w:pStyle w:val="Heading2"/>
        <w:keepNext/>
        <w:spacing w:before="120" w:after="80"/>
      </w:pPr>
      <w:r>
        <w:rPr>
          <w:rFonts w:ascii="Calibri" w:hAnsi="Calibri" w:cs="Calibri" w:eastAsia="Calibri"/>
          <w:b/>
          <w:i w:val="0"/>
          <w:color w:val="1F3864"/>
          <w:sz w:val="24"/>
          <w:szCs w:val="24"/>
          <w:bCs/>
        </w:rPr>
        <w:t>4.6 Sign-off</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Record the DPO opinion and the approval decision.</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2338"/>
        <w:gridCol w:w="2338"/>
        <w:gridCol w:w="2338"/>
        <w:gridCol w:w="2338"/>
      </w:tblGrid>
      <w:tr>
        <w:trPr>
          <w:tblHeader w:val="true"/>
        </w:trPr>
        <w:tc>
          <w:tcPr>
            <w:tcW w:type="dxa" w:w="2339"/>
            <w:shd w:val="clear" w:color="auto" w:fill="1F3864"/>
          </w:tcPr>
          <w:p>
            <w:r/>
            <w:r>
              <w:rPr>
                <w:rFonts w:ascii="Calibri" w:hAnsi="Calibri" w:cs="Calibri" w:eastAsia="Calibri"/>
                <w:b/>
                <w:i w:val="0"/>
                <w:color w:val="FFFFFF"/>
                <w:sz w:val="18"/>
                <w:szCs w:val="18"/>
                <w:bCs/>
              </w:rPr>
              <w:t>Role</w:t>
            </w:r>
          </w:p>
        </w:tc>
        <w:tc>
          <w:tcPr>
            <w:tcW w:type="dxa" w:w="2339"/>
            <w:shd w:val="clear" w:color="auto" w:fill="1F3864"/>
          </w:tcPr>
          <w:p>
            <w:r/>
            <w:r>
              <w:rPr>
                <w:rFonts w:ascii="Calibri" w:hAnsi="Calibri" w:cs="Calibri" w:eastAsia="Calibri"/>
                <w:b/>
                <w:i w:val="0"/>
                <w:color w:val="FFFFFF"/>
                <w:sz w:val="18"/>
                <w:szCs w:val="18"/>
                <w:bCs/>
              </w:rPr>
              <w:t>Decision or opinion</w:t>
            </w:r>
          </w:p>
        </w:tc>
        <w:tc>
          <w:tcPr>
            <w:tcW w:type="dxa" w:w="2339"/>
            <w:shd w:val="clear" w:color="auto" w:fill="1F3864"/>
          </w:tcPr>
          <w:p>
            <w:r/>
            <w:r>
              <w:rPr>
                <w:rFonts w:ascii="Calibri" w:hAnsi="Calibri" w:cs="Calibri" w:eastAsia="Calibri"/>
                <w:b/>
                <w:i w:val="0"/>
                <w:color w:val="FFFFFF"/>
                <w:sz w:val="18"/>
                <w:szCs w:val="18"/>
                <w:bCs/>
              </w:rPr>
              <w:t>Name</w:t>
            </w:r>
          </w:p>
        </w:tc>
        <w:tc>
          <w:tcPr>
            <w:tcW w:type="dxa" w:w="2339"/>
            <w:shd w:val="clear" w:color="auto" w:fill="1F3864"/>
          </w:tcPr>
          <w:p>
            <w:r/>
            <w:r>
              <w:rPr>
                <w:rFonts w:ascii="Calibri" w:hAnsi="Calibri" w:cs="Calibri" w:eastAsia="Calibri"/>
                <w:b/>
                <w:i w:val="0"/>
                <w:color w:val="FFFFFF"/>
                <w:sz w:val="18"/>
                <w:szCs w:val="18"/>
                <w:bCs/>
              </w:rPr>
              <w:t>Date</w:t>
            </w:r>
          </w:p>
        </w:tc>
      </w:tr>
      <w:tr>
        <w:tc>
          <w:tcPr>
            <w:tcW w:type="dxa" w:w="2339"/>
          </w:tcPr>
          <w:p>
            <w:r/>
            <w:r>
              <w:rPr>
                <w:rFonts w:ascii="Calibri" w:hAnsi="Calibri" w:cs="Calibri" w:eastAsia="Calibri"/>
                <w:b w:val="0"/>
                <w:i w:val="0"/>
                <w:sz w:val="18"/>
                <w:szCs w:val="18"/>
              </w:rPr>
              <w:t>DPO</w:t>
            </w:r>
          </w:p>
        </w:tc>
        <w:tc>
          <w:tcPr>
            <w:tcW w:type="dxa" w:w="2339"/>
          </w:tcPr>
          <w:p>
            <w:r/>
            <w:r>
              <w:rPr>
                <w:rFonts w:ascii="Calibri" w:hAnsi="Calibri" w:cs="Calibri" w:eastAsia="Calibri"/>
                <w:b w:val="0"/>
                <w:i w:val="0"/>
                <w:sz w:val="18"/>
                <w:szCs w:val="18"/>
              </w:rPr>
              <w:t>Proceed with measures listed</w:t>
            </w:r>
          </w:p>
        </w:tc>
        <w:tc>
          <w:tcPr>
            <w:tcW w:type="dxa" w:w="2339"/>
          </w:tcPr>
          <w:p>
            <w:r/>
            <w:r>
              <w:rPr>
                <w:rFonts w:ascii="Calibri" w:hAnsi="Calibri" w:cs="Calibri" w:eastAsia="Calibri"/>
                <w:b w:val="0"/>
                <w:i w:val="0"/>
                <w:sz w:val="18"/>
                <w:szCs w:val="18"/>
              </w:rPr>
              <w:t>(signed)</w:t>
            </w:r>
          </w:p>
        </w:tc>
        <w:tc>
          <w:tcPr>
            <w:tcW w:type="dxa" w:w="2339"/>
          </w:tcPr>
          <w:p>
            <w:r/>
            <w:r>
              <w:rPr>
                <w:rFonts w:ascii="Calibri" w:hAnsi="Calibri" w:cs="Calibri" w:eastAsia="Calibri"/>
                <w:b w:val="0"/>
                <w:i w:val="0"/>
                <w:sz w:val="18"/>
                <w:szCs w:val="18"/>
              </w:rPr>
              <w:t>15/07/2026</w:t>
            </w:r>
          </w:p>
        </w:tc>
      </w:tr>
      <w:tr>
        <w:tc>
          <w:tcPr>
            <w:tcW w:type="dxa" w:w="2339"/>
          </w:tcPr>
          <w:p>
            <w:r/>
            <w:r>
              <w:rPr>
                <w:rFonts w:ascii="Calibri" w:hAnsi="Calibri" w:cs="Calibri" w:eastAsia="Calibri"/>
                <w:b w:val="0"/>
                <w:i w:val="0"/>
                <w:sz w:val="18"/>
                <w:szCs w:val="18"/>
              </w:rPr>
              <w:t>Security Manager</w:t>
            </w:r>
          </w:p>
        </w:tc>
        <w:tc>
          <w:tcPr>
            <w:tcW w:type="dxa" w:w="2339"/>
          </w:tcPr>
          <w:p>
            <w:r/>
            <w:r>
              <w:rPr>
                <w:rFonts w:ascii="Calibri" w:hAnsi="Calibri" w:cs="Calibri" w:eastAsia="Calibri"/>
                <w:b w:val="0"/>
                <w:i w:val="0"/>
                <w:sz w:val="18"/>
                <w:szCs w:val="18"/>
              </w:rPr>
              <w:t>Controls adequate</w:t>
            </w:r>
          </w:p>
        </w:tc>
        <w:tc>
          <w:tcPr>
            <w:tcW w:type="dxa" w:w="2339"/>
          </w:tcPr>
          <w:p>
            <w:r/>
            <w:r>
              <w:rPr>
                <w:rFonts w:ascii="Calibri" w:hAnsi="Calibri" w:cs="Calibri" w:eastAsia="Calibri"/>
                <w:b w:val="0"/>
                <w:i w:val="0"/>
                <w:sz w:val="18"/>
                <w:szCs w:val="18"/>
              </w:rPr>
              <w:t>(signed)</w:t>
            </w:r>
          </w:p>
        </w:tc>
        <w:tc>
          <w:tcPr>
            <w:tcW w:type="dxa" w:w="2339"/>
          </w:tcPr>
          <w:p>
            <w:r/>
            <w:r>
              <w:rPr>
                <w:rFonts w:ascii="Calibri" w:hAnsi="Calibri" w:cs="Calibri" w:eastAsia="Calibri"/>
                <w:b w:val="0"/>
                <w:i w:val="0"/>
                <w:sz w:val="18"/>
                <w:szCs w:val="18"/>
              </w:rPr>
              <w:t>15/07/2026</w:t>
            </w:r>
          </w:p>
        </w:tc>
      </w:tr>
      <w:tr>
        <w:tc>
          <w:tcPr>
            <w:tcW w:type="dxa" w:w="2339"/>
          </w:tcPr>
          <w:p>
            <w:r/>
            <w:r>
              <w:rPr>
                <w:rFonts w:ascii="Calibri" w:hAnsi="Calibri" w:cs="Calibri" w:eastAsia="Calibri"/>
                <w:b w:val="0"/>
                <w:i w:val="0"/>
                <w:sz w:val="18"/>
                <w:szCs w:val="18"/>
              </w:rPr>
              <w:t>Medical Director</w:t>
            </w:r>
          </w:p>
        </w:tc>
        <w:tc>
          <w:tcPr>
            <w:tcW w:type="dxa" w:w="2339"/>
          </w:tcPr>
          <w:p>
            <w:r/>
            <w:r>
              <w:rPr>
                <w:rFonts w:ascii="Calibri" w:hAnsi="Calibri" w:cs="Calibri" w:eastAsia="Calibri"/>
                <w:b w:val="0"/>
                <w:i w:val="0"/>
                <w:sz w:val="18"/>
                <w:szCs w:val="18"/>
              </w:rPr>
              <w:t>Approved for a 6-month pilot</w:t>
            </w:r>
          </w:p>
        </w:tc>
        <w:tc>
          <w:tcPr>
            <w:tcW w:type="dxa" w:w="2339"/>
          </w:tcPr>
          <w:p>
            <w:r/>
            <w:r>
              <w:rPr>
                <w:rFonts w:ascii="Calibri" w:hAnsi="Calibri" w:cs="Calibri" w:eastAsia="Calibri"/>
                <w:b w:val="0"/>
                <w:i w:val="0"/>
                <w:sz w:val="18"/>
                <w:szCs w:val="18"/>
              </w:rPr>
              <w:t>(signed)</w:t>
            </w:r>
          </w:p>
        </w:tc>
        <w:tc>
          <w:tcPr>
            <w:tcW w:type="dxa" w:w="2339"/>
          </w:tcPr>
          <w:p>
            <w:r/>
            <w:r>
              <w:rPr>
                <w:rFonts w:ascii="Calibri" w:hAnsi="Calibri" w:cs="Calibri" w:eastAsia="Calibri"/>
                <w:b w:val="0"/>
                <w:i w:val="0"/>
                <w:sz w:val="18"/>
                <w:szCs w:val="18"/>
              </w:rPr>
              <w:t>20/07/2026</w:t>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Describe risks from the data subject's point of view, not the organization's.</w:t>
      </w:r>
    </w:p>
    <w:p>
      <w:pPr>
        <w:pStyle w:val="ListBullet"/>
        <w:spacing w:after="40"/>
      </w:pPr>
      <w:r>
        <w:rPr>
          <w:rFonts w:ascii="Calibri" w:hAnsi="Calibri" w:cs="Calibri" w:eastAsia="Calibri"/>
          <w:b w:val="0"/>
          <w:i w:val="0"/>
          <w:sz w:val="21"/>
          <w:szCs w:val="21"/>
        </w:rPr>
        <w:t>Keep the DPIA alive: update it when the system or vendor changes.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Listing generic security controls without linking them to specific risks.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ID.RA-04: Potential impacts and likelihoods of threats exploiting vulnerabilities are identified and recorded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A.5.34</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RA-8</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Supports PDPA s.37(1)</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GV-PRC-004: Data Protection Impact Assessment (DPIA) Procedure</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GV-TPL-003  |  DPIA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