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Data Processing Agreement Template</w:t>
      </w:r>
    </w:p>
    <w:p>
      <w:pPr>
        <w:spacing w:after="80" w:before="0"/>
      </w:pPr>
      <w:r>
        <w:rPr>
          <w:rFonts w:ascii="Calibri" w:hAnsi="Calibri" w:cs="Calibri" w:eastAsia="Calibri"/>
          <w:b w:val="0"/>
          <w:i w:val="0"/>
          <w:color w:val="595959"/>
          <w:sz w:val="18"/>
          <w:szCs w:val="18"/>
        </w:rPr>
        <w:t>GV-TPL-004  |  Template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GV-TPL-004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Data Processing Agreement Template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Legal Counsel</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s.40; PDPC Notification on Security Measures B.E. 2565 (processor agreement)</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 Evidence, Third Party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9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Legal Counsel</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 August 2026</w:t>
            </w:r>
          </w:p>
        </w:tc>
        <w:tc>
          <w:tcPr>
            <w:tcW w:type="dxa" w:w="3742"/>
          </w:tcPr>
          <w:p>
            <w:r/>
            <w:r>
              <w:rPr>
                <w:rFonts w:ascii="Calibri" w:hAnsi="Calibri" w:cs="Calibri" w:eastAsia="Calibri"/>
                <w:b w:val="0"/>
                <w:i w:val="0"/>
                <w:sz w:val="18"/>
                <w:szCs w:val="18"/>
              </w:rPr>
              <w:t>Updated in August 2026 after the PACS vendor remote access issue to require named sub-processors and session recording evidence on request.</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Legal Counsel</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sets the minimum clauses for an agreement with a data processor that processes personal data on behalf of Chaophraya Medical Center (CMC), as required by PDPA s.40 and the PDPC Notification on Security Measures B.E. 2565.</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(GV-POL-004, GV-STD-002) and covers the activities that document defines.</w:t>
      </w:r>
    </w:p>
    <w:p>
      <w:pPr>
        <w:pStyle w:val="Heading2"/>
        <w:keepNext/>
        <w:spacing w:before="120" w:after="80"/>
      </w:pPr>
      <w:r>
        <w:rPr>
          <w:rFonts w:ascii="Calibri" w:hAnsi="Calibri" w:cs="Calibri" w:eastAsia="Calibri"/>
          <w:b/>
          <w:i w:val="0"/>
          <w:color w:val="1F3864"/>
          <w:sz w:val="24"/>
          <w:szCs w:val="24"/>
          <w:bCs/>
        </w:rPr>
        <w:t>4.3 Mandatory Clauses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Include clauses that implement processor duties under PDPA s.40.</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6804"/>
      </w:tblGrid>
      <w:tr>
        <w:trPr>
          <w:tblHeader w:val="true"/>
        </w:trPr>
        <w:tc>
          <w:tcPr>
            <w:tcW w:type="dxa" w:w="2551"/>
            <w:shd w:val="clear" w:color="auto" w:fill="1F3864"/>
          </w:tcPr>
          <w:p>
            <w:r/>
            <w:r>
              <w:rPr>
                <w:rFonts w:ascii="Calibri" w:hAnsi="Calibri" w:cs="Calibri" w:eastAsia="Calibri"/>
                <w:b/>
                <w:i w:val="0"/>
                <w:color w:val="FFFFFF"/>
                <w:sz w:val="18"/>
                <w:szCs w:val="18"/>
                <w:bCs/>
              </w:rPr>
              <w:t>Clause</w:t>
            </w:r>
          </w:p>
        </w:tc>
        <w:tc>
          <w:tcPr>
            <w:tcW w:type="dxa" w:w="6803"/>
            <w:shd w:val="clear" w:color="auto" w:fill="1F3864"/>
          </w:tcPr>
          <w:p>
            <w:r/>
            <w:r>
              <w:rPr>
                <w:rFonts w:ascii="Calibri" w:hAnsi="Calibri" w:cs="Calibri" w:eastAsia="Calibri"/>
                <w:b/>
                <w:i w:val="0"/>
                <w:color w:val="FFFFFF"/>
                <w:sz w:val="18"/>
                <w:szCs w:val="18"/>
                <w:bCs/>
              </w:rPr>
              <w:t>Minimum content</w:t>
            </w:r>
          </w:p>
        </w:tc>
      </w:tr>
      <w:tr>
        <w:tc>
          <w:tcPr>
            <w:tcW w:type="dxa" w:w="2551"/>
          </w:tcPr>
          <w:p>
            <w:r/>
            <w:r>
              <w:rPr>
                <w:rFonts w:ascii="Calibri" w:hAnsi="Calibri" w:cs="Calibri" w:eastAsia="Calibri"/>
                <w:b w:val="0"/>
                <w:i w:val="0"/>
                <w:sz w:val="18"/>
                <w:szCs w:val="18"/>
              </w:rPr>
              <w:t>Subject matter and instructions</w:t>
            </w:r>
          </w:p>
        </w:tc>
        <w:tc>
          <w:tcPr>
            <w:tcW w:type="dxa" w:w="6803"/>
          </w:tcPr>
          <w:p>
            <w:r/>
            <w:r>
              <w:rPr>
                <w:rFonts w:ascii="Calibri" w:hAnsi="Calibri" w:cs="Calibri" w:eastAsia="Calibri"/>
                <w:b w:val="0"/>
                <w:i w:val="0"/>
                <w:sz w:val="18"/>
                <w:szCs w:val="18"/>
              </w:rPr>
              <w:t>Processor acts only on documented instructions from Chaophraya Medical Center (CMC) (PDPA s.40(1)).</w:t>
            </w:r>
          </w:p>
        </w:tc>
      </w:tr>
      <w:tr>
        <w:tc>
          <w:tcPr>
            <w:tcW w:type="dxa" w:w="2551"/>
          </w:tcPr>
          <w:p>
            <w:r/>
            <w:r>
              <w:rPr>
                <w:rFonts w:ascii="Calibri" w:hAnsi="Calibri" w:cs="Calibri" w:eastAsia="Calibri"/>
                <w:b w:val="0"/>
                <w:i w:val="0"/>
                <w:sz w:val="18"/>
                <w:szCs w:val="18"/>
              </w:rPr>
              <w:t>Security measures</w:t>
            </w:r>
          </w:p>
        </w:tc>
        <w:tc>
          <w:tcPr>
            <w:tcW w:type="dxa" w:w="6803"/>
          </w:tcPr>
          <w:p>
            <w:r/>
            <w:r>
              <w:rPr>
                <w:rFonts w:ascii="Calibri" w:hAnsi="Calibri" w:cs="Calibri" w:eastAsia="Calibri"/>
                <w:b w:val="0"/>
                <w:i w:val="0"/>
                <w:sz w:val="18"/>
                <w:szCs w:val="18"/>
              </w:rPr>
              <w:t>Processor applies appropriate security measures at least equal to the PDPC Notification on Security Measures B.E. 2565 (PDPA s.40(2)).</w:t>
            </w:r>
          </w:p>
        </w:tc>
      </w:tr>
      <w:tr>
        <w:tc>
          <w:tcPr>
            <w:tcW w:type="dxa" w:w="2551"/>
          </w:tcPr>
          <w:p>
            <w:r/>
            <w:r>
              <w:rPr>
                <w:rFonts w:ascii="Calibri" w:hAnsi="Calibri" w:cs="Calibri" w:eastAsia="Calibri"/>
                <w:b w:val="0"/>
                <w:i w:val="0"/>
                <w:sz w:val="18"/>
                <w:szCs w:val="18"/>
              </w:rPr>
              <w:t>Breach notification</w:t>
            </w:r>
          </w:p>
        </w:tc>
        <w:tc>
          <w:tcPr>
            <w:tcW w:type="dxa" w:w="6803"/>
          </w:tcPr>
          <w:p>
            <w:r/>
            <w:r>
              <w:rPr>
                <w:rFonts w:ascii="Calibri" w:hAnsi="Calibri" w:cs="Calibri" w:eastAsia="Calibri"/>
                <w:b w:val="0"/>
                <w:i w:val="0"/>
                <w:sz w:val="18"/>
                <w:szCs w:val="18"/>
              </w:rPr>
              <w:t>Processor notifies Chaophraya Medical Center (CMC) of any personal data breach without delay and within 24 hours of awareness, so the controller can meet the 72-hour PDPC deadline.</w:t>
            </w:r>
          </w:p>
        </w:tc>
      </w:tr>
      <w:tr>
        <w:tc>
          <w:tcPr>
            <w:tcW w:type="dxa" w:w="2551"/>
          </w:tcPr>
          <w:p>
            <w:r/>
            <w:r>
              <w:rPr>
                <w:rFonts w:ascii="Calibri" w:hAnsi="Calibri" w:cs="Calibri" w:eastAsia="Calibri"/>
                <w:b w:val="0"/>
                <w:i w:val="0"/>
                <w:sz w:val="18"/>
                <w:szCs w:val="18"/>
              </w:rPr>
              <w:t>Records</w:t>
            </w:r>
          </w:p>
        </w:tc>
        <w:tc>
          <w:tcPr>
            <w:tcW w:type="dxa" w:w="6803"/>
          </w:tcPr>
          <w:p>
            <w:r/>
            <w:r>
              <w:rPr>
                <w:rFonts w:ascii="Calibri" w:hAnsi="Calibri" w:cs="Calibri" w:eastAsia="Calibri"/>
                <w:b w:val="0"/>
                <w:i w:val="0"/>
                <w:sz w:val="18"/>
                <w:szCs w:val="18"/>
              </w:rPr>
              <w:t>Processor keeps records of processing activities (PDPA s.40(3)).</w:t>
            </w:r>
          </w:p>
        </w:tc>
      </w:tr>
      <w:tr>
        <w:tc>
          <w:tcPr>
            <w:tcW w:type="dxa" w:w="2551"/>
          </w:tcPr>
          <w:p>
            <w:r/>
            <w:r>
              <w:rPr>
                <w:rFonts w:ascii="Calibri" w:hAnsi="Calibri" w:cs="Calibri" w:eastAsia="Calibri"/>
                <w:b w:val="0"/>
                <w:i w:val="0"/>
                <w:sz w:val="18"/>
                <w:szCs w:val="18"/>
              </w:rPr>
              <w:t>Sub-processors</w:t>
            </w:r>
          </w:p>
        </w:tc>
        <w:tc>
          <w:tcPr>
            <w:tcW w:type="dxa" w:w="6803"/>
          </w:tcPr>
          <w:p>
            <w:r/>
            <w:r>
              <w:rPr>
                <w:rFonts w:ascii="Calibri" w:hAnsi="Calibri" w:cs="Calibri" w:eastAsia="Calibri"/>
                <w:b w:val="0"/>
                <w:i w:val="0"/>
                <w:sz w:val="18"/>
                <w:szCs w:val="18"/>
              </w:rPr>
              <w:t>Processor uses sub-processors only with prior written approval and on equal terms.</w:t>
            </w:r>
          </w:p>
        </w:tc>
      </w:tr>
      <w:tr>
        <w:tc>
          <w:tcPr>
            <w:tcW w:type="dxa" w:w="2551"/>
          </w:tcPr>
          <w:p>
            <w:r/>
            <w:r>
              <w:rPr>
                <w:rFonts w:ascii="Calibri" w:hAnsi="Calibri" w:cs="Calibri" w:eastAsia="Calibri"/>
                <w:b w:val="0"/>
                <w:i w:val="0"/>
                <w:sz w:val="18"/>
                <w:szCs w:val="18"/>
              </w:rPr>
              <w:t>Assistance</w:t>
            </w:r>
          </w:p>
        </w:tc>
        <w:tc>
          <w:tcPr>
            <w:tcW w:type="dxa" w:w="6803"/>
          </w:tcPr>
          <w:p>
            <w:r/>
            <w:r>
              <w:rPr>
                <w:rFonts w:ascii="Calibri" w:hAnsi="Calibri" w:cs="Calibri" w:eastAsia="Calibri"/>
                <w:b w:val="0"/>
                <w:i w:val="0"/>
                <w:sz w:val="18"/>
                <w:szCs w:val="18"/>
              </w:rPr>
              <w:t>Processor helps with data subject requests, DPIAs, and regulator inquiries.</w:t>
            </w:r>
          </w:p>
        </w:tc>
      </w:tr>
      <w:tr>
        <w:tc>
          <w:tcPr>
            <w:tcW w:type="dxa" w:w="2551"/>
          </w:tcPr>
          <w:p>
            <w:r/>
            <w:r>
              <w:rPr>
                <w:rFonts w:ascii="Calibri" w:hAnsi="Calibri" w:cs="Calibri" w:eastAsia="Calibri"/>
                <w:b w:val="0"/>
                <w:i w:val="0"/>
                <w:sz w:val="18"/>
                <w:szCs w:val="18"/>
              </w:rPr>
              <w:t>Audit</w:t>
            </w:r>
          </w:p>
        </w:tc>
        <w:tc>
          <w:tcPr>
            <w:tcW w:type="dxa" w:w="6803"/>
          </w:tcPr>
          <w:p>
            <w:r/>
            <w:r>
              <w:rPr>
                <w:rFonts w:ascii="Calibri" w:hAnsi="Calibri" w:cs="Calibri" w:eastAsia="Calibri"/>
                <w:b w:val="0"/>
                <w:i w:val="0"/>
                <w:sz w:val="18"/>
                <w:szCs w:val="18"/>
              </w:rPr>
              <w:t>Chaophraya Medical Center (CMC) may audit or request independent assurance reports.</w:t>
            </w:r>
          </w:p>
        </w:tc>
      </w:tr>
      <w:tr>
        <w:tc>
          <w:tcPr>
            <w:tcW w:type="dxa" w:w="2551"/>
          </w:tcPr>
          <w:p>
            <w:r/>
            <w:r>
              <w:rPr>
                <w:rFonts w:ascii="Calibri" w:hAnsi="Calibri" w:cs="Calibri" w:eastAsia="Calibri"/>
                <w:b w:val="0"/>
                <w:i w:val="0"/>
                <w:sz w:val="18"/>
                <w:szCs w:val="18"/>
              </w:rPr>
              <w:t>Return and deletion</w:t>
            </w:r>
          </w:p>
        </w:tc>
        <w:tc>
          <w:tcPr>
            <w:tcW w:type="dxa" w:w="6803"/>
          </w:tcPr>
          <w:p>
            <w:r/>
            <w:r>
              <w:rPr>
                <w:rFonts w:ascii="Calibri" w:hAnsi="Calibri" w:cs="Calibri" w:eastAsia="Calibri"/>
                <w:b w:val="0"/>
                <w:i w:val="0"/>
                <w:sz w:val="18"/>
                <w:szCs w:val="18"/>
              </w:rPr>
              <w:t>Processor returns or deletes all data at contract end and certifies deletion.</w:t>
            </w:r>
          </w:p>
        </w:tc>
      </w:tr>
      <w:tr>
        <w:tc>
          <w:tcPr>
            <w:tcW w:type="dxa" w:w="2551"/>
          </w:tcPr>
          <w:p>
            <w:r/>
            <w:r>
              <w:rPr>
                <w:rFonts w:ascii="Calibri" w:hAnsi="Calibri" w:cs="Calibri" w:eastAsia="Calibri"/>
                <w:b w:val="0"/>
                <w:i w:val="0"/>
                <w:sz w:val="18"/>
                <w:szCs w:val="18"/>
              </w:rPr>
              <w:t>Cross-border transfer</w:t>
            </w:r>
          </w:p>
        </w:tc>
        <w:tc>
          <w:tcPr>
            <w:tcW w:type="dxa" w:w="6803"/>
          </w:tcPr>
          <w:p>
            <w:r/>
            <w:r>
              <w:rPr>
                <w:rFonts w:ascii="Calibri" w:hAnsi="Calibri" w:cs="Calibri" w:eastAsia="Calibri"/>
                <w:b w:val="0"/>
                <w:i w:val="0"/>
                <w:sz w:val="18"/>
                <w:szCs w:val="18"/>
              </w:rPr>
              <w:t>No transfer outside Thailand without approval and PDPA s.28 or s.29 safeguards.</w:t>
            </w:r>
          </w:p>
        </w:tc>
      </w:tr>
    </w:tbl>
    <w:p>
      <w:pPr>
        <w:spacing w:after="40"/>
      </w:pPr>
    </w:p>
    <w:p>
      <w:pPr>
        <w:pStyle w:val="Heading2"/>
        <w:keepNext/>
        <w:spacing w:before="120" w:after="80"/>
      </w:pPr>
      <w:r>
        <w:rPr>
          <w:rFonts w:ascii="Calibri" w:hAnsi="Calibri" w:cs="Calibri" w:eastAsia="Calibri"/>
          <w:b/>
          <w:i w:val="0"/>
          <w:color w:val="1F3864"/>
          <w:sz w:val="24"/>
          <w:szCs w:val="24"/>
          <w:bCs/>
        </w:rPr>
        <w:t>4.4 Annexes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Attach details that change more often than the main contract.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Annex 1: Description of processing (data categories, data subjects, purposes, duration).</w:t>
      </w:r>
    </w:p>
    <w:p>
      <w:pPr>
        <w:pStyle w:val="ListBullet"/>
        <w:spacing w:after="40"/>
      </w:pPr>
      <w:r>
        <w:rPr>
          <w:rFonts w:ascii="Calibri" w:hAnsi="Calibri" w:cs="Calibri" w:eastAsia="Calibri"/>
          <w:b w:val="0"/>
          <w:i w:val="0"/>
          <w:sz w:val="21"/>
          <w:szCs w:val="21"/>
        </w:rPr>
        <w:t>Annex 2: Technical and organizational security measures.</w:t>
      </w:r>
    </w:p>
    <w:p>
      <w:pPr>
        <w:pStyle w:val="ListBullet"/>
        <w:spacing w:after="40"/>
      </w:pPr>
      <w:r>
        <w:rPr>
          <w:rFonts w:ascii="Calibri" w:hAnsi="Calibri" w:cs="Calibri" w:eastAsia="Calibri"/>
          <w:b w:val="0"/>
          <w:i w:val="0"/>
          <w:sz w:val="21"/>
          <w:szCs w:val="21"/>
        </w:rPr>
        <w:t>Annex 3: Approved sub-processors and locations.</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Set the processor breach notice period shorter than 72 hours so the controller has time to assess and notify.</w:t>
      </w:r>
    </w:p>
    <w:p>
      <w:pPr>
        <w:pStyle w:val="ListBullet"/>
        <w:spacing w:after="40"/>
      </w:pPr>
      <w:r>
        <w:rPr>
          <w:rFonts w:ascii="Calibri" w:hAnsi="Calibri" w:cs="Calibri" w:eastAsia="Calibri"/>
          <w:b w:val="0"/>
          <w:i w:val="0"/>
          <w:sz w:val="21"/>
          <w:szCs w:val="21"/>
        </w:rPr>
        <w:t>Use one DPA template across procurement so every new vendor contract includes it.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Signing the vendor's standard terms, which often allow broad sub-processing and slow breach notice.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GV.SC-05: Requirements to address supply chain risks are established, prioritized, and integrated into contracts</w:t>
            </w:r>
          </w:p>
          <w:p>
            <w:r>
              <w:rPr>
                <w:rFonts w:ascii="Calibri" w:hAnsi="Calibri" w:cs="Calibri" w:eastAsia="Calibri"/>
                <w:b w:val="0"/>
                <w:i w:val="0"/>
                <w:sz w:val="18"/>
                <w:szCs w:val="18"/>
              </w:rPr>
              <w:t>GV.OC-03: Legal, regulatory, and contractual cybersecurity requirements are understood and managed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A.5.20, 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SA-9, PT-1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s.40; PDPC Notification on Security Measures B.E. 2565 (processor agreement)</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GV-POL-004: Personal Data Protection Policy</w:t>
            </w:r>
          </w:p>
          <w:p>
            <w:r>
              <w:rPr>
                <w:rFonts w:ascii="Calibri" w:hAnsi="Calibri" w:cs="Calibri" w:eastAsia="Calibri"/>
                <w:b w:val="0"/>
                <w:i w:val="0"/>
                <w:sz w:val="18"/>
                <w:szCs w:val="18"/>
              </w:rPr>
              <w:t>GV-STD-002: Supplier Security Requirements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GV-TPL-004  |  Data Processing Agreement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