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Risk Acceptance Form</w:t>
      </w:r>
    </w:p>
    <w:p>
      <w:pPr>
        <w:spacing w:after="80" w:before="0"/>
      </w:pPr>
      <w:r>
        <w:rPr>
          <w:rFonts w:ascii="Calibri" w:hAnsi="Calibri" w:cs="Calibri" w:eastAsia="Calibri"/>
          <w:b w:val="0"/>
          <w:i w:val="0"/>
          <w:color w:val="595959"/>
          <w:sz w:val="18"/>
          <w:szCs w:val="18"/>
        </w:rPr>
        <w:t>GV-FRM-001  |  Form  |  Risk Management Strategy (GV.RM)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GV-FRM-001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Risk Acceptance Form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Risk Owner (department head)</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8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8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Form</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Management Strategy (GV.RM)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6.1.3(f) (risk owner approval of residual risk)</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3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Risk Owner (department head)</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8 June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Risk Owner (department head)</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records the formal decision of a risk owner to accept a residual risk, with justification, conditions, and an expiry date.</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form is used by the units and roles named in its parent document (GV-PRC-001) and covers the activities that document defines.</w:t>
      </w:r>
    </w:p>
    <w:p>
      <w:pPr>
        <w:pStyle w:val="Heading2"/>
        <w:keepNext/>
        <w:spacing w:before="120" w:after="80"/>
      </w:pPr>
      <w:r>
        <w:rPr>
          <w:rFonts w:ascii="Calibri" w:hAnsi="Calibri" w:cs="Calibri" w:eastAsia="Calibri"/>
          <w:b/>
          <w:i w:val="0"/>
          <w:color w:val="1F3864"/>
          <w:sz w:val="24"/>
          <w:szCs w:val="24"/>
          <w:bCs/>
        </w:rPr>
        <w:t>4.3 Form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every field the requester or approver must complete, with a clear description, so the form is complete and auditable.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23"/>
        <w:gridCol w:w="2268"/>
        <w:gridCol w:w="3628"/>
        <w:gridCol w:w="2835"/>
      </w:tblGrid>
      <w:tr>
        <w:trPr>
          <w:tblHeader w:val="true"/>
        </w:trPr>
        <w:tc>
          <w:tcPr>
            <w:tcW w:type="dxa" w:w="624"/>
            <w:shd w:val="clear" w:color="auto" w:fill="1F3864"/>
          </w:tcPr>
          <w:p>
            <w:r/>
            <w:r>
              <w:rPr>
                <w:rFonts w:ascii="Calibri" w:hAnsi="Calibri" w:cs="Calibri" w:eastAsia="Calibri"/>
                <w:b/>
                <w:i w:val="0"/>
                <w:color w:val="FFFFFF"/>
                <w:sz w:val="18"/>
                <w:szCs w:val="18"/>
                <w:bCs/>
              </w:rPr>
              <w:t>No.</w:t>
            </w:r>
          </w:p>
        </w:tc>
        <w:tc>
          <w:tcPr>
            <w:tcW w:type="dxa" w:w="2268"/>
            <w:shd w:val="clear" w:color="auto" w:fill="1F3864"/>
          </w:tcPr>
          <w:p>
            <w:r/>
            <w:r>
              <w:rPr>
                <w:rFonts w:ascii="Calibri" w:hAnsi="Calibri" w:cs="Calibri" w:eastAsia="Calibri"/>
                <w:b/>
                <w:i w:val="0"/>
                <w:color w:val="FFFFFF"/>
                <w:sz w:val="18"/>
                <w:szCs w:val="18"/>
                <w:bCs/>
              </w:rPr>
              <w:t>Field</w:t>
            </w:r>
          </w:p>
        </w:tc>
        <w:tc>
          <w:tcPr>
            <w:tcW w:type="dxa" w:w="3628"/>
            <w:shd w:val="clear" w:color="auto" w:fill="1F3864"/>
          </w:tcPr>
          <w:p>
            <w:r/>
            <w:r>
              <w:rPr>
                <w:rFonts w:ascii="Calibri" w:hAnsi="Calibri" w:cs="Calibri" w:eastAsia="Calibri"/>
                <w:b/>
                <w:i w:val="0"/>
                <w:color w:val="FFFFFF"/>
                <w:sz w:val="18"/>
                <w:szCs w:val="18"/>
                <w:bCs/>
              </w:rPr>
              <w:t>Description</w:t>
            </w:r>
          </w:p>
        </w:tc>
        <w:tc>
          <w:tcPr>
            <w:tcW w:type="dxa" w:w="2835"/>
            <w:shd w:val="clear" w:color="auto" w:fill="1F3864"/>
          </w:tcPr>
          <w:p>
            <w:r/>
            <w:r>
              <w:rPr>
                <w:rFonts w:ascii="Calibri" w:hAnsi="Calibri" w:cs="Calibri" w:eastAsia="Calibri"/>
                <w:b/>
                <w:i w:val="0"/>
                <w:color w:val="FFFFFF"/>
                <w:sz w:val="18"/>
                <w:szCs w:val="18"/>
                <w:bCs/>
              </w:rPr>
              <w:t>Entry</w:t>
            </w:r>
          </w:p>
        </w:tc>
      </w:tr>
      <w:tr>
        <w:tc>
          <w:tcPr>
            <w:tcW w:type="dxa" w:w="624"/>
          </w:tcPr>
          <w:p>
            <w:r/>
            <w:r>
              <w:rPr>
                <w:rFonts w:ascii="Calibri" w:hAnsi="Calibri" w:cs="Calibri" w:eastAsia="Calibri"/>
                <w:b w:val="0"/>
                <w:i w:val="0"/>
                <w:sz w:val="18"/>
                <w:szCs w:val="18"/>
              </w:rPr>
              <w:t>1</w:t>
            </w:r>
          </w:p>
        </w:tc>
        <w:tc>
          <w:tcPr>
            <w:tcW w:type="dxa" w:w="2268"/>
          </w:tcPr>
          <w:p>
            <w:r/>
            <w:r>
              <w:rPr>
                <w:rFonts w:ascii="Calibri" w:hAnsi="Calibri" w:cs="Calibri" w:eastAsia="Calibri"/>
                <w:b w:val="0"/>
                <w:i w:val="0"/>
                <w:sz w:val="18"/>
                <w:szCs w:val="18"/>
              </w:rPr>
              <w:t>Risk ID and title</w:t>
            </w:r>
          </w:p>
        </w:tc>
        <w:tc>
          <w:tcPr>
            <w:tcW w:type="dxa" w:w="3628"/>
          </w:tcPr>
          <w:p>
            <w:r/>
            <w:r>
              <w:rPr>
                <w:rFonts w:ascii="Calibri" w:hAnsi="Calibri" w:cs="Calibri" w:eastAsia="Calibri"/>
                <w:b w:val="0"/>
                <w:i w:val="0"/>
                <w:sz w:val="18"/>
                <w:szCs w:val="18"/>
              </w:rPr>
              <w:t>From the risk register (ID-REG-005).</w:t>
            </w:r>
          </w:p>
        </w:tc>
        <w:tc>
          <w:tcPr>
            <w:tcW w:type="dxa" w:w="2835"/>
          </w:tcPr>
          <w:p>
            <w:r/>
            <w:r>
              <w:rPr>
                <w:rFonts w:ascii="Calibri" w:hAnsi="Calibri" w:cs="Calibri" w:eastAsia="Calibri"/>
                <w:b w:val="0"/>
                <w:i w:val="0"/>
                <w:sz w:val="18"/>
                <w:szCs w:val="18"/>
              </w:rPr>
              <w:t>R-016: Unsupported nurse call system server</w:t>
            </w:r>
          </w:p>
        </w:tc>
      </w:tr>
      <w:tr>
        <w:tc>
          <w:tcPr>
            <w:tcW w:type="dxa" w:w="624"/>
          </w:tcPr>
          <w:p>
            <w:r/>
            <w:r>
              <w:rPr>
                <w:rFonts w:ascii="Calibri" w:hAnsi="Calibri" w:cs="Calibri" w:eastAsia="Calibri"/>
                <w:b w:val="0"/>
                <w:i w:val="0"/>
                <w:sz w:val="18"/>
                <w:szCs w:val="18"/>
              </w:rPr>
              <w:t>2</w:t>
            </w:r>
          </w:p>
        </w:tc>
        <w:tc>
          <w:tcPr>
            <w:tcW w:type="dxa" w:w="2268"/>
          </w:tcPr>
          <w:p>
            <w:r/>
            <w:r>
              <w:rPr>
                <w:rFonts w:ascii="Calibri" w:hAnsi="Calibri" w:cs="Calibri" w:eastAsia="Calibri"/>
                <w:b w:val="0"/>
                <w:i w:val="0"/>
                <w:sz w:val="18"/>
                <w:szCs w:val="18"/>
              </w:rPr>
              <w:t>Risk scenario</w:t>
            </w:r>
          </w:p>
        </w:tc>
        <w:tc>
          <w:tcPr>
            <w:tcW w:type="dxa" w:w="3628"/>
          </w:tcPr>
          <w:p>
            <w:r/>
            <w:r>
              <w:rPr>
                <w:rFonts w:ascii="Calibri" w:hAnsi="Calibri" w:cs="Calibri" w:eastAsia="Calibri"/>
                <w:b w:val="0"/>
                <w:i w:val="0"/>
                <w:sz w:val="18"/>
                <w:szCs w:val="18"/>
              </w:rPr>
              <w:t>Threat, vulnerability, asset, and impact.</w:t>
            </w:r>
          </w:p>
        </w:tc>
        <w:tc>
          <w:tcPr>
            <w:tcW w:type="dxa" w:w="2835"/>
          </w:tcPr>
          <w:p>
            <w:r/>
            <w:r>
              <w:rPr>
                <w:rFonts w:ascii="Calibri" w:hAnsi="Calibri" w:cs="Calibri" w:eastAsia="Calibri"/>
                <w:b w:val="0"/>
                <w:i w:val="0"/>
                <w:sz w:val="18"/>
                <w:szCs w:val="18"/>
              </w:rPr>
              <w:t>Malware exploits Windows Server 2012 R2 on the nurse call server, stopping nurse call alerts in one building.</w:t>
            </w:r>
          </w:p>
        </w:tc>
      </w:tr>
      <w:tr>
        <w:tc>
          <w:tcPr>
            <w:tcW w:type="dxa" w:w="624"/>
          </w:tcPr>
          <w:p>
            <w:r/>
            <w:r>
              <w:rPr>
                <w:rFonts w:ascii="Calibri" w:hAnsi="Calibri" w:cs="Calibri" w:eastAsia="Calibri"/>
                <w:b w:val="0"/>
                <w:i w:val="0"/>
                <w:sz w:val="18"/>
                <w:szCs w:val="18"/>
              </w:rPr>
              <w:t>3</w:t>
            </w:r>
          </w:p>
        </w:tc>
        <w:tc>
          <w:tcPr>
            <w:tcW w:type="dxa" w:w="2268"/>
          </w:tcPr>
          <w:p>
            <w:r/>
            <w:r>
              <w:rPr>
                <w:rFonts w:ascii="Calibri" w:hAnsi="Calibri" w:cs="Calibri" w:eastAsia="Calibri"/>
                <w:b w:val="0"/>
                <w:i w:val="0"/>
                <w:sz w:val="18"/>
                <w:szCs w:val="18"/>
              </w:rPr>
              <w:t>Current controls</w:t>
            </w:r>
          </w:p>
        </w:tc>
        <w:tc>
          <w:tcPr>
            <w:tcW w:type="dxa" w:w="3628"/>
          </w:tcPr>
          <w:p>
            <w:r/>
            <w:r>
              <w:rPr>
                <w:rFonts w:ascii="Calibri" w:hAnsi="Calibri" w:cs="Calibri" w:eastAsia="Calibri"/>
                <w:b w:val="0"/>
                <w:i w:val="0"/>
                <w:sz w:val="18"/>
                <w:szCs w:val="18"/>
              </w:rPr>
              <w:t>Controls already in place.</w:t>
            </w:r>
          </w:p>
        </w:tc>
        <w:tc>
          <w:tcPr>
            <w:tcW w:type="dxa" w:w="2835"/>
          </w:tcPr>
          <w:p>
            <w:r/>
            <w:r>
              <w:rPr>
                <w:rFonts w:ascii="Calibri" w:hAnsi="Calibri" w:cs="Calibri" w:eastAsia="Calibri"/>
                <w:b w:val="0"/>
                <w:i w:val="0"/>
                <w:sz w:val="18"/>
                <w:szCs w:val="18"/>
              </w:rPr>
              <w:t>Isolated network segment, application allowlisting, daily configuration backup, manual rounds procedure during outage.</w:t>
            </w:r>
          </w:p>
        </w:tc>
      </w:tr>
      <w:tr>
        <w:tc>
          <w:tcPr>
            <w:tcW w:type="dxa" w:w="624"/>
          </w:tcPr>
          <w:p>
            <w:r/>
            <w:r>
              <w:rPr>
                <w:rFonts w:ascii="Calibri" w:hAnsi="Calibri" w:cs="Calibri" w:eastAsia="Calibri"/>
                <w:b w:val="0"/>
                <w:i w:val="0"/>
                <w:sz w:val="18"/>
                <w:szCs w:val="18"/>
              </w:rPr>
              <w:t>4</w:t>
            </w:r>
          </w:p>
        </w:tc>
        <w:tc>
          <w:tcPr>
            <w:tcW w:type="dxa" w:w="2268"/>
          </w:tcPr>
          <w:p>
            <w:r/>
            <w:r>
              <w:rPr>
                <w:rFonts w:ascii="Calibri" w:hAnsi="Calibri" w:cs="Calibri" w:eastAsia="Calibri"/>
                <w:b w:val="0"/>
                <w:i w:val="0"/>
                <w:sz w:val="18"/>
                <w:szCs w:val="18"/>
              </w:rPr>
              <w:t>Residual risk score and level</w:t>
            </w:r>
          </w:p>
        </w:tc>
        <w:tc>
          <w:tcPr>
            <w:tcW w:type="dxa" w:w="3628"/>
          </w:tcPr>
          <w:p>
            <w:r/>
            <w:r>
              <w:rPr>
                <w:rFonts w:ascii="Calibri" w:hAnsi="Calibri" w:cs="Calibri" w:eastAsia="Calibri"/>
                <w:b w:val="0"/>
                <w:i w:val="0"/>
                <w:sz w:val="18"/>
                <w:szCs w:val="18"/>
              </w:rPr>
              <w:t>Likelihood x impact per GV-PRC-001.</w:t>
            </w:r>
          </w:p>
        </w:tc>
        <w:tc>
          <w:tcPr>
            <w:tcW w:type="dxa" w:w="2835"/>
          </w:tcPr>
          <w:p>
            <w:r/>
            <w:r>
              <w:rPr>
                <w:rFonts w:ascii="Calibri" w:hAnsi="Calibri" w:cs="Calibri" w:eastAsia="Calibri"/>
                <w:b w:val="0"/>
                <w:i w:val="0"/>
                <w:sz w:val="18"/>
                <w:szCs w:val="18"/>
              </w:rPr>
              <w:t>2 x 4 = 8 (Medium)</w:t>
            </w:r>
          </w:p>
        </w:tc>
      </w:tr>
      <w:tr>
        <w:tc>
          <w:tcPr>
            <w:tcW w:type="dxa" w:w="624"/>
          </w:tcPr>
          <w:p>
            <w:r/>
            <w:r>
              <w:rPr>
                <w:rFonts w:ascii="Calibri" w:hAnsi="Calibri" w:cs="Calibri" w:eastAsia="Calibri"/>
                <w:b w:val="0"/>
                <w:i w:val="0"/>
                <w:sz w:val="18"/>
                <w:szCs w:val="18"/>
              </w:rPr>
              <w:t>5</w:t>
            </w:r>
          </w:p>
        </w:tc>
        <w:tc>
          <w:tcPr>
            <w:tcW w:type="dxa" w:w="2268"/>
          </w:tcPr>
          <w:p>
            <w:r/>
            <w:r>
              <w:rPr>
                <w:rFonts w:ascii="Calibri" w:hAnsi="Calibri" w:cs="Calibri" w:eastAsia="Calibri"/>
                <w:b w:val="0"/>
                <w:i w:val="0"/>
                <w:sz w:val="18"/>
                <w:szCs w:val="18"/>
              </w:rPr>
              <w:t>Reason for acceptance</w:t>
            </w:r>
          </w:p>
        </w:tc>
        <w:tc>
          <w:tcPr>
            <w:tcW w:type="dxa" w:w="3628"/>
          </w:tcPr>
          <w:p>
            <w:r/>
            <w:r>
              <w:rPr>
                <w:rFonts w:ascii="Calibri" w:hAnsi="Calibri" w:cs="Calibri" w:eastAsia="Calibri"/>
                <w:b w:val="0"/>
                <w:i w:val="0"/>
                <w:sz w:val="18"/>
                <w:szCs w:val="18"/>
              </w:rPr>
              <w:t>Why further treatment is not justified now.</w:t>
            </w:r>
          </w:p>
        </w:tc>
        <w:tc>
          <w:tcPr>
            <w:tcW w:type="dxa" w:w="2835"/>
          </w:tcPr>
          <w:p>
            <w:r/>
            <w:r>
              <w:rPr>
                <w:rFonts w:ascii="Calibri" w:hAnsi="Calibri" w:cs="Calibri" w:eastAsia="Calibri"/>
                <w:b w:val="0"/>
                <w:i w:val="0"/>
                <w:sz w:val="18"/>
                <w:szCs w:val="18"/>
              </w:rPr>
              <w:t>Replacement is funded in the 2027 capital budget; the vendor has no supported upgrade until the new platform is installed.</w:t>
            </w:r>
          </w:p>
        </w:tc>
      </w:tr>
      <w:tr>
        <w:tc>
          <w:tcPr>
            <w:tcW w:type="dxa" w:w="624"/>
          </w:tcPr>
          <w:p>
            <w:r/>
            <w:r>
              <w:rPr>
                <w:rFonts w:ascii="Calibri" w:hAnsi="Calibri" w:cs="Calibri" w:eastAsia="Calibri"/>
                <w:b w:val="0"/>
                <w:i w:val="0"/>
                <w:sz w:val="18"/>
                <w:szCs w:val="18"/>
              </w:rPr>
              <w:t>6</w:t>
            </w:r>
          </w:p>
        </w:tc>
        <w:tc>
          <w:tcPr>
            <w:tcW w:type="dxa" w:w="2268"/>
          </w:tcPr>
          <w:p>
            <w:r/>
            <w:r>
              <w:rPr>
                <w:rFonts w:ascii="Calibri" w:hAnsi="Calibri" w:cs="Calibri" w:eastAsia="Calibri"/>
                <w:b w:val="0"/>
                <w:i w:val="0"/>
                <w:sz w:val="18"/>
                <w:szCs w:val="18"/>
              </w:rPr>
              <w:t>Conditions</w:t>
            </w:r>
          </w:p>
        </w:tc>
        <w:tc>
          <w:tcPr>
            <w:tcW w:type="dxa" w:w="3628"/>
          </w:tcPr>
          <w:p>
            <w:r/>
            <w:r>
              <w:rPr>
                <w:rFonts w:ascii="Calibri" w:hAnsi="Calibri" w:cs="Calibri" w:eastAsia="Calibri"/>
                <w:b w:val="0"/>
                <w:i w:val="0"/>
                <w:sz w:val="18"/>
                <w:szCs w:val="18"/>
              </w:rPr>
              <w:t>Monitoring or conditions attached to the acceptance.</w:t>
            </w:r>
          </w:p>
        </w:tc>
        <w:tc>
          <w:tcPr>
            <w:tcW w:type="dxa" w:w="2835"/>
          </w:tcPr>
          <w:p>
            <w:r/>
            <w:r>
              <w:rPr>
                <w:rFonts w:ascii="Calibri" w:hAnsi="Calibri" w:cs="Calibri" w:eastAsia="Calibri"/>
                <w:b w:val="0"/>
                <w:i w:val="0"/>
                <w:sz w:val="18"/>
                <w:szCs w:val="18"/>
              </w:rPr>
              <w:t>MSSP monitors the segment; any alert triggers immediate isolation; Facilities tests manual rounds monthly.</w:t>
            </w:r>
          </w:p>
        </w:tc>
      </w:tr>
      <w:tr>
        <w:tc>
          <w:tcPr>
            <w:tcW w:type="dxa" w:w="624"/>
          </w:tcPr>
          <w:p>
            <w:r/>
            <w:r>
              <w:rPr>
                <w:rFonts w:ascii="Calibri" w:hAnsi="Calibri" w:cs="Calibri" w:eastAsia="Calibri"/>
                <w:b w:val="0"/>
                <w:i w:val="0"/>
                <w:sz w:val="18"/>
                <w:szCs w:val="18"/>
              </w:rPr>
              <w:t>7</w:t>
            </w:r>
          </w:p>
        </w:tc>
        <w:tc>
          <w:tcPr>
            <w:tcW w:type="dxa" w:w="2268"/>
          </w:tcPr>
          <w:p>
            <w:r/>
            <w:r>
              <w:rPr>
                <w:rFonts w:ascii="Calibri" w:hAnsi="Calibri" w:cs="Calibri" w:eastAsia="Calibri"/>
                <w:b w:val="0"/>
                <w:i w:val="0"/>
                <w:sz w:val="18"/>
                <w:szCs w:val="18"/>
              </w:rPr>
              <w:t>Acceptance period</w:t>
            </w:r>
          </w:p>
        </w:tc>
        <w:tc>
          <w:tcPr>
            <w:tcW w:type="dxa" w:w="3628"/>
          </w:tcPr>
          <w:p>
            <w:r/>
            <w:r>
              <w:rPr>
                <w:rFonts w:ascii="Calibri" w:hAnsi="Calibri" w:cs="Calibri" w:eastAsia="Calibri"/>
                <w:b w:val="0"/>
                <w:i w:val="0"/>
                <w:sz w:val="18"/>
                <w:szCs w:val="18"/>
              </w:rPr>
              <w:t>Maximum 12 months.</w:t>
            </w:r>
          </w:p>
        </w:tc>
        <w:tc>
          <w:tcPr>
            <w:tcW w:type="dxa" w:w="2835"/>
          </w:tcPr>
          <w:p>
            <w:r/>
            <w:r>
              <w:rPr>
                <w:rFonts w:ascii="Calibri" w:hAnsi="Calibri" w:cs="Calibri" w:eastAsia="Calibri"/>
                <w:b w:val="0"/>
                <w:i w:val="0"/>
                <w:sz w:val="18"/>
                <w:szCs w:val="18"/>
              </w:rPr>
              <w:t>12 January 2026 to 12 January 2027</w:t>
            </w:r>
          </w:p>
        </w:tc>
      </w:tr>
      <w:tr>
        <w:tc>
          <w:tcPr>
            <w:tcW w:type="dxa" w:w="624"/>
          </w:tcPr>
          <w:p>
            <w:r/>
            <w:r>
              <w:rPr>
                <w:rFonts w:ascii="Calibri" w:hAnsi="Calibri" w:cs="Calibri" w:eastAsia="Calibri"/>
                <w:b w:val="0"/>
                <w:i w:val="0"/>
                <w:sz w:val="18"/>
                <w:szCs w:val="18"/>
              </w:rPr>
              <w:t>8</w:t>
            </w:r>
          </w:p>
        </w:tc>
        <w:tc>
          <w:tcPr>
            <w:tcW w:type="dxa" w:w="2268"/>
          </w:tcPr>
          <w:p>
            <w:r/>
            <w:r>
              <w:rPr>
                <w:rFonts w:ascii="Calibri" w:hAnsi="Calibri" w:cs="Calibri" w:eastAsia="Calibri"/>
                <w:b w:val="0"/>
                <w:i w:val="0"/>
                <w:sz w:val="18"/>
                <w:szCs w:val="18"/>
              </w:rPr>
              <w:t>Security function opinion</w:t>
            </w:r>
          </w:p>
        </w:tc>
        <w:tc>
          <w:tcPr>
            <w:tcW w:type="dxa" w:w="3628"/>
          </w:tcPr>
          <w:p>
            <w:r/>
            <w:r>
              <w:rPr>
                <w:rFonts w:ascii="Calibri" w:hAnsi="Calibri" w:cs="Calibri" w:eastAsia="Calibri"/>
                <w:b w:val="0"/>
                <w:i w:val="0"/>
                <w:sz w:val="18"/>
                <w:szCs w:val="18"/>
              </w:rPr>
              <w:t>Comment from the security team.</w:t>
            </w:r>
          </w:p>
        </w:tc>
        <w:tc>
          <w:tcPr>
            <w:tcW w:type="dxa" w:w="2835"/>
          </w:tcPr>
          <w:p>
            <w:r/>
            <w:r>
              <w:rPr>
                <w:rFonts w:ascii="Calibri" w:hAnsi="Calibri" w:cs="Calibri" w:eastAsia="Calibri"/>
                <w:b w:val="0"/>
                <w:i w:val="0"/>
                <w:sz w:val="18"/>
                <w:szCs w:val="18"/>
              </w:rPr>
              <w:t>Accept with conditions. Recommend no further extension beyond the 2027 replacement.</w:t>
            </w:r>
          </w:p>
        </w:tc>
      </w:tr>
    </w:tbl>
    <w:p>
      <w:pPr>
        <w:spacing w:after="40"/>
      </w:pPr>
    </w:p>
    <w:p>
      <w:pPr>
        <w:pStyle w:val="Heading2"/>
        <w:keepNext/>
        <w:spacing w:before="120" w:after="80"/>
      </w:pPr>
      <w:r>
        <w:rPr>
          <w:rFonts w:ascii="Calibri" w:hAnsi="Calibri" w:cs="Calibri" w:eastAsia="Calibri"/>
          <w:b/>
          <w:i w:val="0"/>
          <w:color w:val="1F3864"/>
          <w:sz w:val="24"/>
          <w:szCs w:val="24"/>
          <w:bCs/>
        </w:rPr>
        <w:t>4.4 Approval and Sign-off</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who reviewed and approved the form, with name, date, and signature or electronic approval.</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835"/>
        <w:gridCol w:w="2551"/>
        <w:gridCol w:w="2268"/>
        <w:gridCol w:w="1701"/>
      </w:tblGrid>
      <w:tr>
        <w:trPr>
          <w:tblHeader w:val="true"/>
        </w:trPr>
        <w:tc>
          <w:tcPr>
            <w:tcW w:type="dxa" w:w="2835"/>
            <w:shd w:val="clear" w:color="auto" w:fill="1F3864"/>
          </w:tcPr>
          <w:p>
            <w:r/>
            <w:r>
              <w:rPr>
                <w:rFonts w:ascii="Calibri" w:hAnsi="Calibri" w:cs="Calibri" w:eastAsia="Calibri"/>
                <w:b/>
                <w:i w:val="0"/>
                <w:color w:val="FFFFFF"/>
                <w:sz w:val="18"/>
                <w:szCs w:val="18"/>
                <w:bCs/>
              </w:rPr>
              <w:t>Role</w:t>
            </w:r>
          </w:p>
        </w:tc>
        <w:tc>
          <w:tcPr>
            <w:tcW w:type="dxa" w:w="2551"/>
            <w:shd w:val="clear" w:color="auto" w:fill="1F3864"/>
          </w:tcPr>
          <w:p>
            <w:r/>
            <w:r>
              <w:rPr>
                <w:rFonts w:ascii="Calibri" w:hAnsi="Calibri" w:cs="Calibri" w:eastAsia="Calibri"/>
                <w:b/>
                <w:i w:val="0"/>
                <w:color w:val="FFFFFF"/>
                <w:sz w:val="18"/>
                <w:szCs w:val="18"/>
                <w:bCs/>
              </w:rPr>
              <w:t>Name</w:t>
            </w:r>
          </w:p>
        </w:tc>
        <w:tc>
          <w:tcPr>
            <w:tcW w:type="dxa" w:w="2268"/>
            <w:shd w:val="clear" w:color="auto" w:fill="1F3864"/>
          </w:tcPr>
          <w:p>
            <w:r/>
            <w:r>
              <w:rPr>
                <w:rFonts w:ascii="Calibri" w:hAnsi="Calibri" w:cs="Calibri" w:eastAsia="Calibri"/>
                <w:b/>
                <w:i w:val="0"/>
                <w:color w:val="FFFFFF"/>
                <w:sz w:val="18"/>
                <w:szCs w:val="18"/>
                <w:bCs/>
              </w:rPr>
              <w:t>Signature</w:t>
            </w:r>
          </w:p>
        </w:tc>
        <w:tc>
          <w:tcPr>
            <w:tcW w:type="dxa" w:w="1701"/>
            <w:shd w:val="clear" w:color="auto" w:fill="1F3864"/>
          </w:tcPr>
          <w:p>
            <w:r/>
            <w:r>
              <w:rPr>
                <w:rFonts w:ascii="Calibri" w:hAnsi="Calibri" w:cs="Calibri" w:eastAsia="Calibri"/>
                <w:b/>
                <w:i w:val="0"/>
                <w:color w:val="FFFFFF"/>
                <w:sz w:val="18"/>
                <w:szCs w:val="18"/>
                <w:bCs/>
              </w:rPr>
              <w:t>Date</w:t>
            </w:r>
          </w:p>
        </w:tc>
      </w:tr>
      <w:tr>
        <w:tc>
          <w:tcPr>
            <w:tcW w:type="dxa" w:w="2835"/>
          </w:tcPr>
          <w:p>
            <w:r/>
            <w:r>
              <w:rPr>
                <w:rFonts w:ascii="Calibri" w:hAnsi="Calibri" w:cs="Calibri" w:eastAsia="Calibri"/>
                <w:b w:val="0"/>
                <w:i w:val="0"/>
                <w:sz w:val="18"/>
                <w:szCs w:val="18"/>
              </w:rPr>
              <w:t>Risk Owner (department head)</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Security Manager</w:t>
            </w:r>
          </w:p>
        </w:tc>
        <w:tc>
          <w:tcPr>
            <w:tcW w:type="dxa" w:w="2551"/>
          </w:tcPr>
          <w:p>
            <w:r/>
          </w:p>
        </w:tc>
        <w:tc>
          <w:tcPr>
            <w:tcW w:type="dxa" w:w="2268"/>
          </w:tcPr>
          <w:p>
            <w:r/>
          </w:p>
        </w:tc>
        <w:tc>
          <w:tcPr>
            <w:tcW w:type="dxa" w:w="1701"/>
          </w:tcPr>
          <w:p>
            <w:r/>
          </w:p>
        </w:tc>
      </w:tr>
      <w:tr>
        <w:tc>
          <w:tcPr>
            <w:tcW w:type="dxa" w:w="2835"/>
          </w:tcPr>
          <w:p>
            <w:r/>
            <w:r>
              <w:rPr>
                <w:rFonts w:ascii="Calibri" w:hAnsi="Calibri" w:cs="Calibri" w:eastAsia="Calibri"/>
                <w:b w:val="0"/>
                <w:i w:val="0"/>
                <w:sz w:val="18"/>
                <w:szCs w:val="18"/>
              </w:rPr>
              <w:t>Chief Information Officer (CIO)</w:t>
            </w:r>
          </w:p>
        </w:tc>
        <w:tc>
          <w:tcPr>
            <w:tcW w:type="dxa" w:w="2551"/>
          </w:tcPr>
          <w:p>
            <w:r/>
          </w:p>
        </w:tc>
        <w:tc>
          <w:tcPr>
            <w:tcW w:type="dxa" w:w="2268"/>
          </w:tcPr>
          <w:p>
            <w:r/>
          </w:p>
        </w:tc>
        <w:tc>
          <w:tcPr>
            <w:tcW w:type="dxa" w:w="1701"/>
          </w:tcPr>
          <w:p>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Make acceptance a conscious decision by a named executive, not a default when no one acts.</w:t>
      </w:r>
    </w:p>
    <w:p>
      <w:pPr>
        <w:pStyle w:val="ListBullet"/>
        <w:spacing w:after="40"/>
      </w:pPr>
      <w:r>
        <w:rPr>
          <w:rFonts w:ascii="Calibri" w:hAnsi="Calibri" w:cs="Calibri" w:eastAsia="Calibri"/>
          <w:b w:val="0"/>
          <w:i w:val="0"/>
          <w:sz w:val="21"/>
          <w:szCs w:val="21"/>
        </w:rPr>
        <w:t>Review accepted risks when they expire or when conditions change.</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Accepting Critical risks at department level, above the authority set in the methodology.</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GV.RM-04: Strategic direction for appropriate risk response options is established and communicated</w:t>
            </w:r>
          </w:p>
          <w:p>
            <w:r>
              <w:rPr>
                <w:rFonts w:ascii="Calibri" w:hAnsi="Calibri" w:cs="Calibri" w:eastAsia="Calibri"/>
                <w:b w:val="0"/>
                <w:i w:val="0"/>
                <w:sz w:val="18"/>
                <w:szCs w:val="18"/>
              </w:rPr>
              <w:t>ID.RA-06: Risk responses are chosen, prioritized, planned, tracked, and communicated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6.1.3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RA-7, PM-9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6.1.3(f) (risk owner approval of residual risk)</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GV-PRC-001: Risk Assessment and Treatment Methodology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GV-FRM-001  |  Risk Acceptance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