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Risk Management Policy</w:t>
      </w:r>
    </w:p>
    <w:p>
      <w:pPr>
        <w:spacing w:after="80" w:before="0"/>
      </w:pPr>
      <w:r>
        <w:rPr>
          <w:rFonts w:ascii="Calibri" w:hAnsi="Calibri" w:cs="Calibri" w:eastAsia="Calibri"/>
          <w:b w:val="0"/>
          <w:i w:val="0"/>
          <w:color w:val="595959"/>
          <w:sz w:val="18"/>
          <w:szCs w:val="18"/>
        </w:rPr>
        <w:t>GV-POL-002  |  Policy  |  Risk Management Strategy (GV.RM)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GV-POL-002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Risk Management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Management Strategy (GV.RM)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 CSA s.44 (CII)</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July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defines how Chaophraya Medical Center (CMC) identifies, assesses, treats, monitors, and reports cybersecurity risk as part of enterprise risk management.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mandatory risk management principles (GV.RM-01, GV.RM-03, GV.RM-04).</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Cybersecurity risk is managed within the enterprise risk management framework and reported on the same scale as other enterprise risks.</w:t>
      </w:r>
    </w:p>
    <w:p>
      <w:pPr>
        <w:pStyle w:val="ListBullet"/>
        <w:spacing w:after="40"/>
      </w:pPr>
      <w:r>
        <w:rPr>
          <w:rFonts w:ascii="Calibri" w:hAnsi="Calibri" w:cs="Calibri" w:eastAsia="Calibri"/>
          <w:b w:val="0"/>
          <w:i w:val="0"/>
          <w:sz w:val="21"/>
          <w:szCs w:val="21"/>
        </w:rPr>
        <w:t>Risks are assessed using one standard method (GV-PRC-001) at least once a year and whenever significant change occurs.</w:t>
      </w:r>
    </w:p>
    <w:p>
      <w:pPr>
        <w:pStyle w:val="ListBullet"/>
        <w:spacing w:after="40"/>
      </w:pPr>
      <w:r>
        <w:rPr>
          <w:rFonts w:ascii="Calibri" w:hAnsi="Calibri" w:cs="Calibri" w:eastAsia="Calibri"/>
          <w:b w:val="0"/>
          <w:i w:val="0"/>
          <w:sz w:val="21"/>
          <w:szCs w:val="21"/>
        </w:rPr>
        <w:t>Every risk has an owner at management level who decides the treatment: mitigate, avoid, transfer, or accept.</w:t>
      </w:r>
    </w:p>
    <w:p>
      <w:pPr>
        <w:pStyle w:val="ListBullet"/>
        <w:spacing w:after="40"/>
      </w:pPr>
      <w:r>
        <w:rPr>
          <w:rFonts w:ascii="Calibri" w:hAnsi="Calibri" w:cs="Calibri" w:eastAsia="Calibri"/>
          <w:b w:val="0"/>
          <w:i w:val="0"/>
          <w:sz w:val="21"/>
          <w:szCs w:val="21"/>
        </w:rPr>
        <w:t>Risks above appetite (GV-STM-001) must be treated or formally accepted by the authority defined in GV-PRC-001.</w:t>
      </w:r>
    </w:p>
    <w:p>
      <w:pPr>
        <w:pStyle w:val="ListBullet"/>
        <w:spacing w:after="40"/>
      </w:pPr>
      <w:r>
        <w:rPr>
          <w:rFonts w:ascii="Calibri" w:hAnsi="Calibri" w:cs="Calibri" w:eastAsia="Calibri"/>
          <w:b w:val="0"/>
          <w:i w:val="0"/>
          <w:sz w:val="21"/>
          <w:szCs w:val="21"/>
        </w:rPr>
        <w:t>Supplier risks are included in the risk register (GV.SC-03).</w:t>
      </w:r>
    </w:p>
    <w:p>
      <w:pPr>
        <w:pStyle w:val="ListBullet"/>
        <w:spacing w:after="40"/>
      </w:pPr>
      <w:r>
        <w:rPr>
          <w:rFonts w:ascii="Calibri" w:hAnsi="Calibri" w:cs="Calibri" w:eastAsia="Calibri"/>
          <w:b w:val="0"/>
          <w:i w:val="0"/>
          <w:sz w:val="21"/>
          <w:szCs w:val="21"/>
        </w:rPr>
        <w:t>Positive risks (opportunities), such as automation that reduces manual error, are considered alongside threats (GV.RM-07).</w:t>
      </w:r>
    </w:p>
    <w:p>
      <w:pPr>
        <w:pStyle w:val="Heading2"/>
        <w:keepNext/>
        <w:spacing w:before="120" w:after="80"/>
      </w:pPr>
      <w:r>
        <w:rPr>
          <w:rFonts w:ascii="Calibri" w:hAnsi="Calibri" w:cs="Calibri" w:eastAsia="Calibri"/>
          <w:b/>
          <w:i w:val="0"/>
          <w:color w:val="1F3864"/>
          <w:sz w:val="24"/>
          <w:szCs w:val="24"/>
          <w:bCs/>
        </w:rPr>
        <w:t>4.4 Risk Communication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lines of communication for risk, including supplier risk (GV.RM-05).</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4819"/>
        <w:gridCol w:w="2268"/>
      </w:tblGrid>
      <w:tr>
        <w:trPr>
          <w:tblHeader w:val="true"/>
        </w:trPr>
        <w:tc>
          <w:tcPr>
            <w:tcW w:type="dxa" w:w="2268"/>
            <w:shd w:val="clear" w:color="auto" w:fill="1F3864"/>
          </w:tcPr>
          <w:p>
            <w:r/>
            <w:r>
              <w:rPr>
                <w:rFonts w:ascii="Calibri" w:hAnsi="Calibri" w:cs="Calibri" w:eastAsia="Calibri"/>
                <w:b/>
                <w:i w:val="0"/>
                <w:color w:val="FFFFFF"/>
                <w:sz w:val="18"/>
                <w:szCs w:val="18"/>
                <w:bCs/>
              </w:rPr>
              <w:t>Audience</w:t>
            </w:r>
          </w:p>
        </w:tc>
        <w:tc>
          <w:tcPr>
            <w:tcW w:type="dxa" w:w="4819"/>
            <w:shd w:val="clear" w:color="auto" w:fill="1F3864"/>
          </w:tcPr>
          <w:p>
            <w:r/>
            <w:r>
              <w:rPr>
                <w:rFonts w:ascii="Calibri" w:hAnsi="Calibri" w:cs="Calibri" w:eastAsia="Calibri"/>
                <w:b/>
                <w:i w:val="0"/>
                <w:color w:val="FFFFFF"/>
                <w:sz w:val="18"/>
                <w:szCs w:val="18"/>
                <w:bCs/>
              </w:rPr>
              <w:t>Content</w:t>
            </w:r>
          </w:p>
        </w:tc>
        <w:tc>
          <w:tcPr>
            <w:tcW w:type="dxa" w:w="2268"/>
            <w:shd w:val="clear" w:color="auto" w:fill="1F3864"/>
          </w:tcPr>
          <w:p>
            <w:r/>
            <w:r>
              <w:rPr>
                <w:rFonts w:ascii="Calibri" w:hAnsi="Calibri" w:cs="Calibri" w:eastAsia="Calibri"/>
                <w:b/>
                <w:i w:val="0"/>
                <w:color w:val="FFFFFF"/>
                <w:sz w:val="18"/>
                <w:szCs w:val="18"/>
                <w:bCs/>
              </w:rPr>
              <w:t>Frequency</w:t>
            </w:r>
          </w:p>
        </w:tc>
      </w:tr>
      <w:tr>
        <w:tc>
          <w:tcPr>
            <w:tcW w:type="dxa" w:w="2268"/>
          </w:tcPr>
          <w:p>
            <w:r/>
            <w:r>
              <w:rPr>
                <w:rFonts w:ascii="Calibri" w:hAnsi="Calibri" w:cs="Calibri" w:eastAsia="Calibri"/>
                <w:b w:val="0"/>
                <w:i w:val="0"/>
                <w:sz w:val="18"/>
                <w:szCs w:val="18"/>
              </w:rPr>
              <w:t>CMC Board of Directors</w:t>
            </w:r>
          </w:p>
        </w:tc>
        <w:tc>
          <w:tcPr>
            <w:tcW w:type="dxa" w:w="4819"/>
          </w:tcPr>
          <w:p>
            <w:r/>
            <w:r>
              <w:rPr>
                <w:rFonts w:ascii="Calibri" w:hAnsi="Calibri" w:cs="Calibri" w:eastAsia="Calibri"/>
                <w:b w:val="0"/>
                <w:i w:val="0"/>
                <w:sz w:val="18"/>
                <w:szCs w:val="18"/>
              </w:rPr>
              <w:t>Top risks versus appetite, trend</w:t>
            </w:r>
          </w:p>
        </w:tc>
        <w:tc>
          <w:tcPr>
            <w:tcW w:type="dxa" w:w="2268"/>
          </w:tcPr>
          <w:p>
            <w:r/>
            <w:r>
              <w:rPr>
                <w:rFonts w:ascii="Calibri" w:hAnsi="Calibri" w:cs="Calibri" w:eastAsia="Calibri"/>
                <w:b w:val="0"/>
                <w:i w:val="0"/>
                <w:sz w:val="18"/>
                <w:szCs w:val="18"/>
              </w:rPr>
              <w:t>At least twice a year</w:t>
            </w:r>
          </w:p>
        </w:tc>
      </w:tr>
      <w:tr>
        <w:tc>
          <w:tcPr>
            <w:tcW w:type="dxa" w:w="2268"/>
          </w:tcPr>
          <w:p>
            <w:r/>
            <w:r>
              <w:rPr>
                <w:rFonts w:ascii="Calibri" w:hAnsi="Calibri" w:cs="Calibri" w:eastAsia="Calibri"/>
                <w:b w:val="0"/>
                <w:i w:val="0"/>
                <w:sz w:val="18"/>
                <w:szCs w:val="18"/>
              </w:rPr>
              <w:t>Information Security Steering Committee (ISSC)</w:t>
            </w:r>
          </w:p>
        </w:tc>
        <w:tc>
          <w:tcPr>
            <w:tcW w:type="dxa" w:w="4819"/>
          </w:tcPr>
          <w:p>
            <w:r/>
            <w:r>
              <w:rPr>
                <w:rFonts w:ascii="Calibri" w:hAnsi="Calibri" w:cs="Calibri" w:eastAsia="Calibri"/>
                <w:b w:val="0"/>
                <w:i w:val="0"/>
                <w:sz w:val="18"/>
                <w:szCs w:val="18"/>
              </w:rPr>
              <w:t>Risk register summary, KRIs, overdue treatments</w:t>
            </w:r>
          </w:p>
        </w:tc>
        <w:tc>
          <w:tcPr>
            <w:tcW w:type="dxa" w:w="2268"/>
          </w:tcPr>
          <w:p>
            <w:r/>
            <w:r>
              <w:rPr>
                <w:rFonts w:ascii="Calibri" w:hAnsi="Calibri" w:cs="Calibri" w:eastAsia="Calibri"/>
                <w:b w:val="0"/>
                <w:i w:val="0"/>
                <w:sz w:val="18"/>
                <w:szCs w:val="18"/>
              </w:rPr>
              <w:t>Quarterly</w:t>
            </w:r>
          </w:p>
        </w:tc>
      </w:tr>
      <w:tr>
        <w:tc>
          <w:tcPr>
            <w:tcW w:type="dxa" w:w="2268"/>
          </w:tcPr>
          <w:p>
            <w:r/>
            <w:r>
              <w:rPr>
                <w:rFonts w:ascii="Calibri" w:hAnsi="Calibri" w:cs="Calibri" w:eastAsia="Calibri"/>
                <w:b w:val="0"/>
                <w:i w:val="0"/>
                <w:sz w:val="18"/>
                <w:szCs w:val="18"/>
              </w:rPr>
              <w:t>Quality and Risk Management Director</w:t>
            </w:r>
          </w:p>
        </w:tc>
        <w:tc>
          <w:tcPr>
            <w:tcW w:type="dxa" w:w="4819"/>
          </w:tcPr>
          <w:p>
            <w:r/>
            <w:r>
              <w:rPr>
                <w:rFonts w:ascii="Calibri" w:hAnsi="Calibri" w:cs="Calibri" w:eastAsia="Calibri"/>
                <w:b w:val="0"/>
                <w:i w:val="0"/>
                <w:sz w:val="18"/>
                <w:szCs w:val="18"/>
              </w:rPr>
              <w:t>Cyber risks for the enterprise risk register</w:t>
            </w:r>
          </w:p>
        </w:tc>
        <w:tc>
          <w:tcPr>
            <w:tcW w:type="dxa" w:w="2268"/>
          </w:tcPr>
          <w:p>
            <w:r/>
            <w:r>
              <w:rPr>
                <w:rFonts w:ascii="Calibri" w:hAnsi="Calibri" w:cs="Calibri" w:eastAsia="Calibri"/>
                <w:b w:val="0"/>
                <w:i w:val="0"/>
                <w:sz w:val="18"/>
                <w:szCs w:val="18"/>
              </w:rPr>
              <w:t>Quarterly</w:t>
            </w:r>
          </w:p>
        </w:tc>
      </w:tr>
      <w:tr>
        <w:tc>
          <w:tcPr>
            <w:tcW w:type="dxa" w:w="2268"/>
          </w:tcPr>
          <w:p>
            <w:r/>
            <w:r>
              <w:rPr>
                <w:rFonts w:ascii="Calibri" w:hAnsi="Calibri" w:cs="Calibri" w:eastAsia="Calibri"/>
                <w:b w:val="0"/>
                <w:i w:val="0"/>
                <w:sz w:val="18"/>
                <w:szCs w:val="18"/>
              </w:rPr>
              <w:t>Risk owners</w:t>
            </w:r>
          </w:p>
        </w:tc>
        <w:tc>
          <w:tcPr>
            <w:tcW w:type="dxa" w:w="4819"/>
          </w:tcPr>
          <w:p>
            <w:r/>
            <w:r>
              <w:rPr>
                <w:rFonts w:ascii="Calibri" w:hAnsi="Calibri" w:cs="Calibri" w:eastAsia="Calibri"/>
                <w:b w:val="0"/>
                <w:i w:val="0"/>
                <w:sz w:val="18"/>
                <w:szCs w:val="18"/>
              </w:rPr>
              <w:t>Their risks and treatment status</w:t>
            </w:r>
          </w:p>
        </w:tc>
        <w:tc>
          <w:tcPr>
            <w:tcW w:type="dxa" w:w="2268"/>
          </w:tcPr>
          <w:p>
            <w:r/>
            <w:r>
              <w:rPr>
                <w:rFonts w:ascii="Calibri" w:hAnsi="Calibri" w:cs="Calibri" w:eastAsia="Calibri"/>
                <w:b w:val="0"/>
                <w:i w:val="0"/>
                <w:sz w:val="18"/>
                <w:szCs w:val="18"/>
              </w:rPr>
              <w:t>Monthly</w:t>
            </w:r>
          </w:p>
        </w:tc>
      </w:tr>
    </w:tbl>
    <w:p>
      <w:pPr>
        <w:spacing w:after="40"/>
      </w:pP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the enterprise risk scale rather than a separate IT scale, so cyber risks compete fairly for funding.</w:t>
      </w:r>
    </w:p>
    <w:p>
      <w:pPr>
        <w:pStyle w:val="ListBullet"/>
        <w:spacing w:after="40"/>
      </w:pPr>
      <w:r>
        <w:rPr>
          <w:rFonts w:ascii="Calibri" w:hAnsi="Calibri" w:cs="Calibri" w:eastAsia="Calibri"/>
          <w:b w:val="0"/>
          <w:i w:val="0"/>
          <w:sz w:val="21"/>
          <w:szCs w:val="21"/>
        </w:rPr>
        <w:t>Describe risks as scenarios with business impact, not as missing controls.</w:t>
      </w:r>
    </w:p>
    <w:p>
      <w:pPr>
        <w:pStyle w:val="ListBullet"/>
        <w:spacing w:after="40"/>
      </w:pPr>
      <w:r>
        <w:rPr>
          <w:rFonts w:ascii="Calibri" w:hAnsi="Calibri" w:cs="Calibri" w:eastAsia="Calibri"/>
          <w:b w:val="0"/>
          <w:i w:val="0"/>
          <w:sz w:val="21"/>
          <w:szCs w:val="21"/>
        </w:rPr>
        <w:t>Reassess risks after major incidents, audits, and changes.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IT owns every cyber risk, so business leaders never make treatment decisions.</w:t>
      </w:r>
    </w:p>
    <w:p>
      <w:pPr>
        <w:pStyle w:val="ListBullet"/>
        <w:spacing w:after="40"/>
      </w:pPr>
      <w:r>
        <w:rPr>
          <w:rFonts w:ascii="Calibri" w:hAnsi="Calibri" w:cs="Calibri" w:eastAsia="Calibri"/>
          <w:b w:val="0"/>
          <w:i w:val="0"/>
          <w:sz w:val="21"/>
          <w:szCs w:val="21"/>
        </w:rPr>
        <w:t>Risk register entries read as audit findings ("no MFA") instead of risks.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GV.RM-01: Risk management objectives are established and agreed to by stakeholders</w:t>
            </w:r>
          </w:p>
          <w:p>
            <w:r>
              <w:rPr>
                <w:rFonts w:ascii="Calibri" w:hAnsi="Calibri" w:cs="Calibri" w:eastAsia="Calibri"/>
                <w:b w:val="0"/>
                <w:i w:val="0"/>
                <w:sz w:val="18"/>
                <w:szCs w:val="18"/>
              </w:rPr>
              <w:t>GV.RM-03: Cybersecurity risk management is included in enterprise risk management processes</w:t>
            </w:r>
          </w:p>
          <w:p>
            <w:r>
              <w:rPr>
                <w:rFonts w:ascii="Calibri" w:hAnsi="Calibri" w:cs="Calibri" w:eastAsia="Calibri"/>
                <w:b w:val="0"/>
                <w:i w:val="0"/>
                <w:sz w:val="18"/>
                <w:szCs w:val="18"/>
              </w:rPr>
              <w:t>GV.RM-04: Strategic direction for appropriate risk response options is established and communicated</w:t>
            </w:r>
          </w:p>
          <w:p>
            <w:r>
              <w:rPr>
                <w:rFonts w:ascii="Calibri" w:hAnsi="Calibri" w:cs="Calibri" w:eastAsia="Calibri"/>
                <w:b w:val="0"/>
                <w:i w:val="0"/>
                <w:sz w:val="18"/>
                <w:szCs w:val="18"/>
              </w:rPr>
              <w:t>GV.RM-05: Lines of communication for cybersecurity risks, including supplier risks, are established</w:t>
            </w:r>
          </w:p>
          <w:p>
            <w:r>
              <w:rPr>
                <w:rFonts w:ascii="Calibri" w:hAnsi="Calibri" w:cs="Calibri" w:eastAsia="Calibri"/>
                <w:b w:val="0"/>
                <w:i w:val="0"/>
                <w:sz w:val="18"/>
                <w:szCs w:val="18"/>
              </w:rPr>
              <w:t>GV.RM-07: Strategic opportunities (positive risks) are characterized and included in discussions</w:t>
            </w:r>
          </w:p>
          <w:p>
            <w:r>
              <w:rPr>
                <w:rFonts w:ascii="Calibri" w:hAnsi="Calibri" w:cs="Calibri" w:eastAsia="Calibri"/>
                <w:b w:val="0"/>
                <w:i w:val="0"/>
                <w:sz w:val="18"/>
                <w:szCs w:val="18"/>
              </w:rPr>
              <w:t>GV.SC-03: Supply chain risk management is integrated into cybersecurity and enterprise risk management</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 Clause 8.2, Clause 8.3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RA-1, 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 CSA s.44 (CII)</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p>
            <w:r>
              <w:rPr>
                <w:rFonts w:ascii="Calibri" w:hAnsi="Calibri" w:cs="Calibri" w:eastAsia="Calibri"/>
                <w:b w:val="0"/>
                <w:i w:val="0"/>
                <w:sz w:val="18"/>
                <w:szCs w:val="18"/>
              </w:rPr>
              <w:t>GV-STM-001: Risk Appetite and Tolerance Statement</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GV-PRC-001: Risk Assessment and Treatment Methodology</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GV-POL-002  |  Cybersecurity Risk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