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Risk Assessment and Treatment Methodology</w:t>
      </w:r>
    </w:p>
    <w:p>
      <w:pPr>
        <w:spacing w:after="80" w:before="0"/>
      </w:pPr>
      <w:r>
        <w:rPr>
          <w:rFonts w:ascii="Calibri" w:hAnsi="Calibri" w:cs="Calibri" w:eastAsia="Calibri"/>
          <w:b w:val="0"/>
          <w:i w:val="0"/>
          <w:color w:val="595959"/>
          <w:sz w:val="18"/>
          <w:szCs w:val="18"/>
        </w:rPr>
        <w:t>GV-PRC-001  |  Procedure  |  Risk Management Strategy (GV.RM)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GV-PRC-001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Risk Assessment and Treatment Methodology</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24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24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Risk Management Strategy (GV.RM)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 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6.1.2 and 6.1.3 (documented process); CSA s.54</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Required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23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24 March 2026</w:t>
            </w:r>
          </w:p>
        </w:tc>
        <w:tc>
          <w:tcPr>
            <w:tcW w:type="dxa" w:w="3742"/>
          </w:tcPr>
          <w:p>
            <w:r/>
            <w:r>
              <w:rPr>
                <w:rFonts w:ascii="Calibri" w:hAnsi="Calibri" w:cs="Calibri" w:eastAsia="Calibri"/>
                <w:b w:val="0"/>
                <w:i w:val="0"/>
                <w:sz w:val="18"/>
                <w:szCs w:val="18"/>
              </w:rPr>
              <w:t>Updated in January 2026 to align the impact scale with the CMC enterprise risk framework and add patient harm as an impact criterion.</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methodology defines the standard method for identifying, analyzing, evaluating, and treating cybersecurity risk, so results are consistent, comparable, and repeatable (ISO/IEC 27001:2022 Clause 6.1.2 and 6.1.3; NIST SP 800-30 Rev. 1).</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Risk Identification</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how risks are identified, using assets, threats, and vulnerabilities, and who participates.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Start from critical services and assets in the BIA (ID-RPT-002) and asset inventories.</w:t>
      </w:r>
    </w:p>
    <w:p>
      <w:pPr>
        <w:pStyle w:val="ListBullet"/>
        <w:spacing w:after="40"/>
      </w:pPr>
      <w:r>
        <w:rPr>
          <w:rFonts w:ascii="Calibri" w:hAnsi="Calibri" w:cs="Calibri" w:eastAsia="Calibri"/>
          <w:b w:val="0"/>
          <w:i w:val="0"/>
          <w:sz w:val="21"/>
          <w:szCs w:val="21"/>
        </w:rPr>
        <w:t>Identify threats from threat intelligence (ID-PRC-004), incidents, and industry reports (ID.RA-03).</w:t>
      </w:r>
    </w:p>
    <w:p>
      <w:pPr>
        <w:pStyle w:val="ListBullet"/>
        <w:spacing w:after="40"/>
      </w:pPr>
      <w:r>
        <w:rPr>
          <w:rFonts w:ascii="Calibri" w:hAnsi="Calibri" w:cs="Calibri" w:eastAsia="Calibri"/>
          <w:b w:val="0"/>
          <w:i w:val="0"/>
          <w:sz w:val="21"/>
          <w:szCs w:val="21"/>
        </w:rPr>
        <w:t>Identify vulnerabilities from scans, penetration tests, audits, and control gaps (ID.RA-01).</w:t>
      </w:r>
    </w:p>
    <w:p>
      <w:pPr>
        <w:pStyle w:val="ListBullet"/>
        <w:spacing w:after="40"/>
      </w:pPr>
      <w:r>
        <w:rPr>
          <w:rFonts w:ascii="Calibri" w:hAnsi="Calibri" w:cs="Calibri" w:eastAsia="Calibri"/>
          <w:b w:val="0"/>
          <w:i w:val="0"/>
          <w:sz w:val="21"/>
          <w:szCs w:val="21"/>
        </w:rPr>
        <w:t>Write each risk as a scenario: [threat] exploits [vulnerability] in [asset], causing [business impact].</w:t>
      </w:r>
    </w:p>
    <w:p>
      <w:pPr>
        <w:pStyle w:val="ListBullet"/>
        <w:spacing w:after="40"/>
      </w:pPr>
      <w:r>
        <w:rPr>
          <w:rFonts w:ascii="Calibri" w:hAnsi="Calibri" w:cs="Calibri" w:eastAsia="Calibri"/>
          <w:b w:val="0"/>
          <w:i w:val="0"/>
          <w:sz w:val="21"/>
          <w:szCs w:val="21"/>
        </w:rPr>
        <w:t>Run workshops with system owners and business heads.</w:t>
      </w:r>
    </w:p>
    <w:p>
      <w:pPr>
        <w:pStyle w:val="Heading2"/>
        <w:keepNext/>
        <w:spacing w:before="120" w:after="80"/>
      </w:pPr>
      <w:r>
        <w:rPr>
          <w:rFonts w:ascii="Calibri" w:hAnsi="Calibri" w:cs="Calibri" w:eastAsia="Calibri"/>
          <w:b/>
          <w:i w:val="0"/>
          <w:color w:val="1F3864"/>
          <w:sz w:val="24"/>
          <w:szCs w:val="24"/>
          <w:bCs/>
        </w:rPr>
        <w:t>4.4 Likelihood Scale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likelihood levels with clear criteria.</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850"/>
        <w:gridCol w:w="1701"/>
        <w:gridCol w:w="6804"/>
      </w:tblGrid>
      <w:tr>
        <w:trPr>
          <w:tblHeader w:val="true"/>
        </w:trPr>
        <w:tc>
          <w:tcPr>
            <w:tcW w:type="dxa" w:w="850"/>
            <w:shd w:val="clear" w:color="auto" w:fill="1F3864"/>
          </w:tcPr>
          <w:p>
            <w:r/>
            <w:r>
              <w:rPr>
                <w:rFonts w:ascii="Calibri" w:hAnsi="Calibri" w:cs="Calibri" w:eastAsia="Calibri"/>
                <w:b/>
                <w:i w:val="0"/>
                <w:color w:val="FFFFFF"/>
                <w:sz w:val="18"/>
                <w:szCs w:val="18"/>
                <w:bCs/>
              </w:rPr>
              <w:t>Score</w:t>
            </w:r>
          </w:p>
        </w:tc>
        <w:tc>
          <w:tcPr>
            <w:tcW w:type="dxa" w:w="1701"/>
            <w:shd w:val="clear" w:color="auto" w:fill="1F3864"/>
          </w:tcPr>
          <w:p>
            <w:r/>
            <w:r>
              <w:rPr>
                <w:rFonts w:ascii="Calibri" w:hAnsi="Calibri" w:cs="Calibri" w:eastAsia="Calibri"/>
                <w:b/>
                <w:i w:val="0"/>
                <w:color w:val="FFFFFF"/>
                <w:sz w:val="18"/>
                <w:szCs w:val="18"/>
                <w:bCs/>
              </w:rPr>
              <w:t>Level</w:t>
            </w:r>
          </w:p>
        </w:tc>
        <w:tc>
          <w:tcPr>
            <w:tcW w:type="dxa" w:w="6803"/>
            <w:shd w:val="clear" w:color="auto" w:fill="1F3864"/>
          </w:tcPr>
          <w:p>
            <w:r/>
            <w:r>
              <w:rPr>
                <w:rFonts w:ascii="Calibri" w:hAnsi="Calibri" w:cs="Calibri" w:eastAsia="Calibri"/>
                <w:b/>
                <w:i w:val="0"/>
                <w:color w:val="FFFFFF"/>
                <w:sz w:val="18"/>
                <w:szCs w:val="18"/>
                <w:bCs/>
              </w:rPr>
              <w:t>Criteria</w:t>
            </w:r>
          </w:p>
        </w:tc>
      </w:tr>
      <w:tr>
        <w:tc>
          <w:tcPr>
            <w:tcW w:type="dxa" w:w="850"/>
          </w:tcPr>
          <w:p>
            <w:r/>
            <w:r>
              <w:rPr>
                <w:rFonts w:ascii="Calibri" w:hAnsi="Calibri" w:cs="Calibri" w:eastAsia="Calibri"/>
                <w:b w:val="0"/>
                <w:i w:val="0"/>
                <w:sz w:val="18"/>
                <w:szCs w:val="18"/>
              </w:rPr>
              <w:t>5</w:t>
            </w:r>
          </w:p>
        </w:tc>
        <w:tc>
          <w:tcPr>
            <w:tcW w:type="dxa" w:w="1701"/>
          </w:tcPr>
          <w:p>
            <w:r/>
            <w:r>
              <w:rPr>
                <w:rFonts w:ascii="Calibri" w:hAnsi="Calibri" w:cs="Calibri" w:eastAsia="Calibri"/>
                <w:b w:val="0"/>
                <w:i w:val="0"/>
                <w:sz w:val="18"/>
                <w:szCs w:val="18"/>
              </w:rPr>
              <w:t>Almost certain</w:t>
            </w:r>
          </w:p>
        </w:tc>
        <w:tc>
          <w:tcPr>
            <w:tcW w:type="dxa" w:w="6803"/>
          </w:tcPr>
          <w:p>
            <w:r/>
            <w:r>
              <w:rPr>
                <w:rFonts w:ascii="Calibri" w:hAnsi="Calibri" w:cs="Calibri" w:eastAsia="Calibri"/>
                <w:b w:val="0"/>
                <w:i w:val="0"/>
                <w:sz w:val="18"/>
                <w:szCs w:val="18"/>
              </w:rPr>
              <w:t>Expected to occur within 12 months; has occurred recently here or at peers</w:t>
            </w:r>
          </w:p>
        </w:tc>
      </w:tr>
      <w:tr>
        <w:tc>
          <w:tcPr>
            <w:tcW w:type="dxa" w:w="850"/>
          </w:tcPr>
          <w:p>
            <w:r/>
            <w:r>
              <w:rPr>
                <w:rFonts w:ascii="Calibri" w:hAnsi="Calibri" w:cs="Calibri" w:eastAsia="Calibri"/>
                <w:b w:val="0"/>
                <w:i w:val="0"/>
                <w:sz w:val="18"/>
                <w:szCs w:val="18"/>
              </w:rPr>
              <w:t>4</w:t>
            </w:r>
          </w:p>
        </w:tc>
        <w:tc>
          <w:tcPr>
            <w:tcW w:type="dxa" w:w="1701"/>
          </w:tcPr>
          <w:p>
            <w:r/>
            <w:r>
              <w:rPr>
                <w:rFonts w:ascii="Calibri" w:hAnsi="Calibri" w:cs="Calibri" w:eastAsia="Calibri"/>
                <w:b w:val="0"/>
                <w:i w:val="0"/>
                <w:sz w:val="18"/>
                <w:szCs w:val="18"/>
              </w:rPr>
              <w:t>Likely</w:t>
            </w:r>
          </w:p>
        </w:tc>
        <w:tc>
          <w:tcPr>
            <w:tcW w:type="dxa" w:w="6803"/>
          </w:tcPr>
          <w:p>
            <w:r/>
            <w:r>
              <w:rPr>
                <w:rFonts w:ascii="Calibri" w:hAnsi="Calibri" w:cs="Calibri" w:eastAsia="Calibri"/>
                <w:b w:val="0"/>
                <w:i w:val="0"/>
                <w:sz w:val="18"/>
                <w:szCs w:val="18"/>
              </w:rPr>
              <w:t>Will probably occur within 12 months</w:t>
            </w:r>
          </w:p>
        </w:tc>
      </w:tr>
      <w:tr>
        <w:tc>
          <w:tcPr>
            <w:tcW w:type="dxa" w:w="85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Possible</w:t>
            </w:r>
          </w:p>
        </w:tc>
        <w:tc>
          <w:tcPr>
            <w:tcW w:type="dxa" w:w="6803"/>
          </w:tcPr>
          <w:p>
            <w:r/>
            <w:r>
              <w:rPr>
                <w:rFonts w:ascii="Calibri" w:hAnsi="Calibri" w:cs="Calibri" w:eastAsia="Calibri"/>
                <w:b w:val="0"/>
                <w:i w:val="0"/>
                <w:sz w:val="18"/>
                <w:szCs w:val="18"/>
              </w:rPr>
              <w:t>Could occur within 1 to 3 years</w:t>
            </w:r>
          </w:p>
        </w:tc>
      </w:tr>
      <w:tr>
        <w:tc>
          <w:tcPr>
            <w:tcW w:type="dxa" w:w="85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Unlikely</w:t>
            </w:r>
          </w:p>
        </w:tc>
        <w:tc>
          <w:tcPr>
            <w:tcW w:type="dxa" w:w="6803"/>
          </w:tcPr>
          <w:p>
            <w:r/>
            <w:r>
              <w:rPr>
                <w:rFonts w:ascii="Calibri" w:hAnsi="Calibri" w:cs="Calibri" w:eastAsia="Calibri"/>
                <w:b w:val="0"/>
                <w:i w:val="0"/>
                <w:sz w:val="18"/>
                <w:szCs w:val="18"/>
              </w:rPr>
              <w:t>Could occur but not expected within 3 years</w:t>
            </w:r>
          </w:p>
        </w:tc>
      </w:tr>
      <w:tr>
        <w:tc>
          <w:tcPr>
            <w:tcW w:type="dxa" w:w="85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Rare</w:t>
            </w:r>
          </w:p>
        </w:tc>
        <w:tc>
          <w:tcPr>
            <w:tcW w:type="dxa" w:w="6803"/>
          </w:tcPr>
          <w:p>
            <w:r/>
            <w:r>
              <w:rPr>
                <w:rFonts w:ascii="Calibri" w:hAnsi="Calibri" w:cs="Calibri" w:eastAsia="Calibri"/>
                <w:b w:val="0"/>
                <w:i w:val="0"/>
                <w:sz w:val="18"/>
                <w:szCs w:val="18"/>
              </w:rPr>
              <w:t>Only in exceptional circumstances</w:t>
            </w:r>
          </w:p>
        </w:tc>
      </w:tr>
    </w:tbl>
    <w:p>
      <w:pPr>
        <w:spacing w:after="40"/>
      </w:pPr>
    </w:p>
    <w:p>
      <w:pPr>
        <w:pStyle w:val="Heading2"/>
        <w:keepNext/>
        <w:spacing w:before="120" w:after="80"/>
      </w:pPr>
      <w:r>
        <w:rPr>
          <w:rFonts w:ascii="Calibri" w:hAnsi="Calibri" w:cs="Calibri" w:eastAsia="Calibri"/>
          <w:b/>
          <w:i w:val="0"/>
          <w:color w:val="1F3864"/>
          <w:sz w:val="24"/>
          <w:szCs w:val="24"/>
          <w:bCs/>
        </w:rPr>
        <w:t>4.5 Impact Scale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impact levels across financial, operational, legal, reputational, and safety dimensions, aligned with ERM.</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rPr>
          <w:tblHeader w:val="true"/>
        </w:trPr>
        <w:tc>
          <w:tcPr>
            <w:tcW w:type="dxa" w:w="1871"/>
            <w:shd w:val="clear" w:color="auto" w:fill="1F3864"/>
          </w:tcPr>
          <w:p>
            <w:r/>
            <w:r>
              <w:rPr>
                <w:rFonts w:ascii="Calibri" w:hAnsi="Calibri" w:cs="Calibri" w:eastAsia="Calibri"/>
                <w:b/>
                <w:i w:val="0"/>
                <w:color w:val="FFFFFF"/>
                <w:sz w:val="18"/>
                <w:szCs w:val="18"/>
                <w:bCs/>
              </w:rPr>
              <w:t>Score</w:t>
            </w:r>
          </w:p>
        </w:tc>
        <w:tc>
          <w:tcPr>
            <w:tcW w:type="dxa" w:w="1871"/>
            <w:shd w:val="clear" w:color="auto" w:fill="1F3864"/>
          </w:tcPr>
          <w:p>
            <w:r/>
            <w:r>
              <w:rPr>
                <w:rFonts w:ascii="Calibri" w:hAnsi="Calibri" w:cs="Calibri" w:eastAsia="Calibri"/>
                <w:b/>
                <w:i w:val="0"/>
                <w:color w:val="FFFFFF"/>
                <w:sz w:val="18"/>
                <w:szCs w:val="18"/>
                <w:bCs/>
              </w:rPr>
              <w:t>Level</w:t>
            </w:r>
          </w:p>
        </w:tc>
        <w:tc>
          <w:tcPr>
            <w:tcW w:type="dxa" w:w="1871"/>
            <w:shd w:val="clear" w:color="auto" w:fill="1F3864"/>
          </w:tcPr>
          <w:p>
            <w:r/>
            <w:r>
              <w:rPr>
                <w:rFonts w:ascii="Calibri" w:hAnsi="Calibri" w:cs="Calibri" w:eastAsia="Calibri"/>
                <w:b/>
                <w:i w:val="0"/>
                <w:color w:val="FFFFFF"/>
                <w:sz w:val="18"/>
                <w:szCs w:val="18"/>
                <w:bCs/>
              </w:rPr>
              <w:t>Financial</w:t>
            </w:r>
          </w:p>
        </w:tc>
        <w:tc>
          <w:tcPr>
            <w:tcW w:type="dxa" w:w="1871"/>
            <w:shd w:val="clear" w:color="auto" w:fill="1F3864"/>
          </w:tcPr>
          <w:p>
            <w:r/>
            <w:r>
              <w:rPr>
                <w:rFonts w:ascii="Calibri" w:hAnsi="Calibri" w:cs="Calibri" w:eastAsia="Calibri"/>
                <w:b/>
                <w:i w:val="0"/>
                <w:color w:val="FFFFFF"/>
                <w:sz w:val="18"/>
                <w:szCs w:val="18"/>
                <w:bCs/>
              </w:rPr>
              <w:t>Patient care and operations</w:t>
            </w:r>
          </w:p>
        </w:tc>
        <w:tc>
          <w:tcPr>
            <w:tcW w:type="dxa" w:w="1871"/>
            <w:shd w:val="clear" w:color="auto" w:fill="1F3864"/>
          </w:tcPr>
          <w:p>
            <w:r/>
            <w:r>
              <w:rPr>
                <w:rFonts w:ascii="Calibri" w:hAnsi="Calibri" w:cs="Calibri" w:eastAsia="Calibri"/>
                <w:b/>
                <w:i w:val="0"/>
                <w:color w:val="FFFFFF"/>
                <w:sz w:val="18"/>
                <w:szCs w:val="18"/>
                <w:bCs/>
              </w:rPr>
              <w:t>Legal and reputational</w:t>
            </w:r>
          </w:p>
        </w:tc>
      </w:tr>
      <w:tr>
        <w:tc>
          <w:tcPr>
            <w:tcW w:type="dxa" w:w="1871"/>
          </w:tcPr>
          <w:p>
            <w:r/>
            <w:r>
              <w:rPr>
                <w:rFonts w:ascii="Calibri" w:hAnsi="Calibri" w:cs="Calibri" w:eastAsia="Calibri"/>
                <w:b w:val="0"/>
                <w:i w:val="0"/>
                <w:sz w:val="18"/>
                <w:szCs w:val="18"/>
              </w:rPr>
              <w:t>5</w:t>
            </w:r>
          </w:p>
        </w:tc>
        <w:tc>
          <w:tcPr>
            <w:tcW w:type="dxa" w:w="1871"/>
          </w:tcPr>
          <w:p>
            <w:r/>
            <w:r>
              <w:rPr>
                <w:rFonts w:ascii="Calibri" w:hAnsi="Calibri" w:cs="Calibri" w:eastAsia="Calibri"/>
                <w:b w:val="0"/>
                <w:i w:val="0"/>
                <w:sz w:val="18"/>
                <w:szCs w:val="18"/>
              </w:rPr>
              <w:t>Severe</w:t>
            </w:r>
          </w:p>
        </w:tc>
        <w:tc>
          <w:tcPr>
            <w:tcW w:type="dxa" w:w="1871"/>
          </w:tcPr>
          <w:p>
            <w:r/>
            <w:r>
              <w:rPr>
                <w:rFonts w:ascii="Calibri" w:hAnsi="Calibri" w:cs="Calibri" w:eastAsia="Calibri"/>
                <w:b w:val="0"/>
                <w:i w:val="0"/>
                <w:sz w:val="18"/>
                <w:szCs w:val="18"/>
              </w:rPr>
              <w:t>Above THB 50 million</w:t>
            </w:r>
          </w:p>
        </w:tc>
        <w:tc>
          <w:tcPr>
            <w:tcW w:type="dxa" w:w="1871"/>
          </w:tcPr>
          <w:p>
            <w:r/>
            <w:r>
              <w:rPr>
                <w:rFonts w:ascii="Calibri" w:hAnsi="Calibri" w:cs="Calibri" w:eastAsia="Calibri"/>
                <w:b w:val="0"/>
                <w:i w:val="0"/>
                <w:sz w:val="18"/>
                <w:szCs w:val="18"/>
              </w:rPr>
              <w:t>Patient harm, or HIS down more than 24 hours, or ambulance diversion</w:t>
            </w:r>
          </w:p>
        </w:tc>
        <w:tc>
          <w:tcPr>
            <w:tcW w:type="dxa" w:w="1871"/>
          </w:tcPr>
          <w:p>
            <w:r/>
            <w:r>
              <w:rPr>
                <w:rFonts w:ascii="Calibri" w:hAnsi="Calibri" w:cs="Calibri" w:eastAsia="Calibri"/>
                <w:b w:val="0"/>
                <w:i w:val="0"/>
                <w:sz w:val="18"/>
                <w:szCs w:val="18"/>
              </w:rPr>
              <w:t>Regulatory sanction; national media</w:t>
            </w:r>
          </w:p>
        </w:tc>
      </w:tr>
      <w:tr>
        <w:tc>
          <w:tcPr>
            <w:tcW w:type="dxa" w:w="1871"/>
          </w:tcPr>
          <w:p>
            <w:r/>
            <w:r>
              <w:rPr>
                <w:rFonts w:ascii="Calibri" w:hAnsi="Calibri" w:cs="Calibri" w:eastAsia="Calibri"/>
                <w:b w:val="0"/>
                <w:i w:val="0"/>
                <w:sz w:val="18"/>
                <w:szCs w:val="18"/>
              </w:rPr>
              <w:t>4</w:t>
            </w:r>
          </w:p>
        </w:tc>
        <w:tc>
          <w:tcPr>
            <w:tcW w:type="dxa" w:w="1871"/>
          </w:tcPr>
          <w:p>
            <w:r/>
            <w:r>
              <w:rPr>
                <w:rFonts w:ascii="Calibri" w:hAnsi="Calibri" w:cs="Calibri" w:eastAsia="Calibri"/>
                <w:b w:val="0"/>
                <w:i w:val="0"/>
                <w:sz w:val="18"/>
                <w:szCs w:val="18"/>
              </w:rPr>
              <w:t>Major</w:t>
            </w:r>
          </w:p>
        </w:tc>
        <w:tc>
          <w:tcPr>
            <w:tcW w:type="dxa" w:w="1871"/>
          </w:tcPr>
          <w:p>
            <w:r/>
            <w:r>
              <w:rPr>
                <w:rFonts w:ascii="Calibri" w:hAnsi="Calibri" w:cs="Calibri" w:eastAsia="Calibri"/>
                <w:b w:val="0"/>
                <w:i w:val="0"/>
                <w:sz w:val="18"/>
                <w:szCs w:val="18"/>
              </w:rPr>
              <w:t>THB 10 to 50 million</w:t>
            </w:r>
          </w:p>
        </w:tc>
        <w:tc>
          <w:tcPr>
            <w:tcW w:type="dxa" w:w="1871"/>
          </w:tcPr>
          <w:p>
            <w:r/>
            <w:r>
              <w:rPr>
                <w:rFonts w:ascii="Calibri" w:hAnsi="Calibri" w:cs="Calibri" w:eastAsia="Calibri"/>
                <w:b w:val="0"/>
                <w:i w:val="0"/>
                <w:sz w:val="18"/>
                <w:szCs w:val="18"/>
              </w:rPr>
              <w:t>HIS down 4 to 24 hours; PACS or LIS down more than 8 hours</w:t>
            </w:r>
          </w:p>
        </w:tc>
        <w:tc>
          <w:tcPr>
            <w:tcW w:type="dxa" w:w="1871"/>
          </w:tcPr>
          <w:p>
            <w:r/>
            <w:r>
              <w:rPr>
                <w:rFonts w:ascii="Calibri" w:hAnsi="Calibri" w:cs="Calibri" w:eastAsia="Calibri"/>
                <w:b w:val="0"/>
                <w:i w:val="0"/>
                <w:sz w:val="18"/>
                <w:szCs w:val="18"/>
              </w:rPr>
              <w:t>Notifiable breach to PDPC or NCSA</w:t>
            </w:r>
          </w:p>
        </w:tc>
      </w:tr>
      <w:tr>
        <w:tc>
          <w:tcPr>
            <w:tcW w:type="dxa" w:w="1871"/>
          </w:tcPr>
          <w:p>
            <w:r/>
            <w:r>
              <w:rPr>
                <w:rFonts w:ascii="Calibri" w:hAnsi="Calibri" w:cs="Calibri" w:eastAsia="Calibri"/>
                <w:b w:val="0"/>
                <w:i w:val="0"/>
                <w:sz w:val="18"/>
                <w:szCs w:val="18"/>
              </w:rPr>
              <w:t>3</w:t>
            </w:r>
          </w:p>
        </w:tc>
        <w:tc>
          <w:tcPr>
            <w:tcW w:type="dxa" w:w="1871"/>
          </w:tcPr>
          <w:p>
            <w:r/>
            <w:r>
              <w:rPr>
                <w:rFonts w:ascii="Calibri" w:hAnsi="Calibri" w:cs="Calibri" w:eastAsia="Calibri"/>
                <w:b w:val="0"/>
                <w:i w:val="0"/>
                <w:sz w:val="18"/>
                <w:szCs w:val="18"/>
              </w:rPr>
              <w:t>Moderate</w:t>
            </w:r>
          </w:p>
        </w:tc>
        <w:tc>
          <w:tcPr>
            <w:tcW w:type="dxa" w:w="1871"/>
          </w:tcPr>
          <w:p>
            <w:r/>
            <w:r>
              <w:rPr>
                <w:rFonts w:ascii="Calibri" w:hAnsi="Calibri" w:cs="Calibri" w:eastAsia="Calibri"/>
                <w:b w:val="0"/>
                <w:i w:val="0"/>
                <w:sz w:val="18"/>
                <w:szCs w:val="18"/>
              </w:rPr>
              <w:t>THB 1 to 10 million</w:t>
            </w:r>
          </w:p>
        </w:tc>
        <w:tc>
          <w:tcPr>
            <w:tcW w:type="dxa" w:w="1871"/>
          </w:tcPr>
          <w:p>
            <w:r/>
            <w:r>
              <w:rPr>
                <w:rFonts w:ascii="Calibri" w:hAnsi="Calibri" w:cs="Calibri" w:eastAsia="Calibri"/>
                <w:b w:val="0"/>
                <w:i w:val="0"/>
                <w:sz w:val="18"/>
                <w:szCs w:val="18"/>
              </w:rPr>
              <w:t>Downtime procedures used up to 4 hours</w:t>
            </w:r>
          </w:p>
        </w:tc>
        <w:tc>
          <w:tcPr>
            <w:tcW w:type="dxa" w:w="1871"/>
          </w:tcPr>
          <w:p>
            <w:r/>
            <w:r>
              <w:rPr>
                <w:rFonts w:ascii="Calibri" w:hAnsi="Calibri" w:cs="Calibri" w:eastAsia="Calibri"/>
                <w:b w:val="0"/>
                <w:i w:val="0"/>
                <w:sz w:val="18"/>
                <w:szCs w:val="18"/>
              </w:rPr>
              <w:t>Regulator inquiry, HA observation</w:t>
            </w:r>
          </w:p>
        </w:tc>
      </w:tr>
      <w:tr>
        <w:tc>
          <w:tcPr>
            <w:tcW w:type="dxa" w:w="1871"/>
          </w:tcPr>
          <w:p>
            <w:r/>
            <w:r>
              <w:rPr>
                <w:rFonts w:ascii="Calibri" w:hAnsi="Calibri" w:cs="Calibri" w:eastAsia="Calibri"/>
                <w:b w:val="0"/>
                <w:i w:val="0"/>
                <w:sz w:val="18"/>
                <w:szCs w:val="18"/>
              </w:rPr>
              <w:t>2</w:t>
            </w:r>
          </w:p>
        </w:tc>
        <w:tc>
          <w:tcPr>
            <w:tcW w:type="dxa" w:w="1871"/>
          </w:tcPr>
          <w:p>
            <w:r/>
            <w:r>
              <w:rPr>
                <w:rFonts w:ascii="Calibri" w:hAnsi="Calibri" w:cs="Calibri" w:eastAsia="Calibri"/>
                <w:b w:val="0"/>
                <w:i w:val="0"/>
                <w:sz w:val="18"/>
                <w:szCs w:val="18"/>
              </w:rPr>
              <w:t>Minor</w:t>
            </w:r>
          </w:p>
        </w:tc>
        <w:tc>
          <w:tcPr>
            <w:tcW w:type="dxa" w:w="1871"/>
          </w:tcPr>
          <w:p>
            <w:r/>
            <w:r>
              <w:rPr>
                <w:rFonts w:ascii="Calibri" w:hAnsi="Calibri" w:cs="Calibri" w:eastAsia="Calibri"/>
                <w:b w:val="0"/>
                <w:i w:val="0"/>
                <w:sz w:val="18"/>
                <w:szCs w:val="18"/>
              </w:rPr>
              <w:t>Below THB 1 million</w:t>
            </w:r>
          </w:p>
        </w:tc>
        <w:tc>
          <w:tcPr>
            <w:tcW w:type="dxa" w:w="1871"/>
          </w:tcPr>
          <w:p>
            <w:r/>
            <w:r>
              <w:rPr>
                <w:rFonts w:ascii="Calibri" w:hAnsi="Calibri" w:cs="Calibri" w:eastAsia="Calibri"/>
                <w:b w:val="0"/>
                <w:i w:val="0"/>
                <w:sz w:val="18"/>
                <w:szCs w:val="18"/>
              </w:rPr>
              <w:t>Single department affected</w:t>
            </w:r>
          </w:p>
        </w:tc>
        <w:tc>
          <w:tcPr>
            <w:tcW w:type="dxa" w:w="1871"/>
          </w:tcPr>
          <w:p>
            <w:r/>
            <w:r>
              <w:rPr>
                <w:rFonts w:ascii="Calibri" w:hAnsi="Calibri" w:cs="Calibri" w:eastAsia="Calibri"/>
                <w:b w:val="0"/>
                <w:i w:val="0"/>
                <w:sz w:val="18"/>
                <w:szCs w:val="18"/>
              </w:rPr>
              <w:t>Patient complaints</w:t>
            </w:r>
          </w:p>
        </w:tc>
      </w:tr>
      <w:tr>
        <w:tc>
          <w:tcPr>
            <w:tcW w:type="dxa" w:w="1871"/>
          </w:tcPr>
          <w:p>
            <w:r/>
            <w:r>
              <w:rPr>
                <w:rFonts w:ascii="Calibri" w:hAnsi="Calibri" w:cs="Calibri" w:eastAsia="Calibri"/>
                <w:b w:val="0"/>
                <w:i w:val="0"/>
                <w:sz w:val="18"/>
                <w:szCs w:val="18"/>
              </w:rPr>
              <w:t>1</w:t>
            </w:r>
          </w:p>
        </w:tc>
        <w:tc>
          <w:tcPr>
            <w:tcW w:type="dxa" w:w="1871"/>
          </w:tcPr>
          <w:p>
            <w:r/>
            <w:r>
              <w:rPr>
                <w:rFonts w:ascii="Calibri" w:hAnsi="Calibri" w:cs="Calibri" w:eastAsia="Calibri"/>
                <w:b w:val="0"/>
                <w:i w:val="0"/>
                <w:sz w:val="18"/>
                <w:szCs w:val="18"/>
              </w:rPr>
              <w:t>Insignificant</w:t>
            </w:r>
          </w:p>
        </w:tc>
        <w:tc>
          <w:tcPr>
            <w:tcW w:type="dxa" w:w="1871"/>
          </w:tcPr>
          <w:p>
            <w:r/>
            <w:r>
              <w:rPr>
                <w:rFonts w:ascii="Calibri" w:hAnsi="Calibri" w:cs="Calibri" w:eastAsia="Calibri"/>
                <w:b w:val="0"/>
                <w:i w:val="0"/>
                <w:sz w:val="18"/>
                <w:szCs w:val="18"/>
              </w:rPr>
              <w:t>Negligible</w:t>
            </w:r>
          </w:p>
        </w:tc>
        <w:tc>
          <w:tcPr>
            <w:tcW w:type="dxa" w:w="1871"/>
          </w:tcPr>
          <w:p>
            <w:r/>
            <w:r>
              <w:rPr>
                <w:rFonts w:ascii="Calibri" w:hAnsi="Calibri" w:cs="Calibri" w:eastAsia="Calibri"/>
                <w:b w:val="0"/>
                <w:i w:val="0"/>
                <w:sz w:val="18"/>
                <w:szCs w:val="18"/>
              </w:rPr>
              <w:t>No effect on care</w:t>
            </w:r>
          </w:p>
        </w:tc>
        <w:tc>
          <w:tcPr>
            <w:tcW w:type="dxa" w:w="1871"/>
          </w:tcPr>
          <w:p>
            <w:r/>
            <w:r>
              <w:rPr>
                <w:rFonts w:ascii="Calibri" w:hAnsi="Calibri" w:cs="Calibri" w:eastAsia="Calibri"/>
                <w:b w:val="0"/>
                <w:i w:val="0"/>
                <w:sz w:val="18"/>
                <w:szCs w:val="18"/>
              </w:rPr>
              <w:t>None</w:t>
            </w:r>
          </w:p>
        </w:tc>
      </w:tr>
    </w:tbl>
    <w:p>
      <w:pPr>
        <w:spacing w:after="40"/>
      </w:pPr>
    </w:p>
    <w:p>
      <w:pPr>
        <w:pStyle w:val="Heading2"/>
        <w:keepNext/>
        <w:spacing w:before="120" w:after="80"/>
      </w:pPr>
      <w:r>
        <w:rPr>
          <w:rFonts w:ascii="Calibri" w:hAnsi="Calibri" w:cs="Calibri" w:eastAsia="Calibri"/>
          <w:b/>
          <w:i w:val="0"/>
          <w:color w:val="1F3864"/>
          <w:sz w:val="24"/>
          <w:szCs w:val="24"/>
          <w:bCs/>
        </w:rPr>
        <w:t>4.6 Risk Matrix and Treatment Authority</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risk levels from likelihood x impact and who may accept each level.</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701"/>
        <w:gridCol w:w="1417"/>
        <w:gridCol w:w="3402"/>
        <w:gridCol w:w="2835"/>
      </w:tblGrid>
      <w:tr>
        <w:trPr>
          <w:tblHeader w:val="true"/>
        </w:trPr>
        <w:tc>
          <w:tcPr>
            <w:tcW w:type="dxa" w:w="1701"/>
            <w:shd w:val="clear" w:color="auto" w:fill="1F3864"/>
          </w:tcPr>
          <w:p>
            <w:r/>
            <w:r>
              <w:rPr>
                <w:rFonts w:ascii="Calibri" w:hAnsi="Calibri" w:cs="Calibri" w:eastAsia="Calibri"/>
                <w:b/>
                <w:i w:val="0"/>
                <w:color w:val="FFFFFF"/>
                <w:sz w:val="18"/>
                <w:szCs w:val="18"/>
                <w:bCs/>
              </w:rPr>
              <w:t>Score (L x I)</w:t>
            </w:r>
          </w:p>
        </w:tc>
        <w:tc>
          <w:tcPr>
            <w:tcW w:type="dxa" w:w="1417"/>
            <w:shd w:val="clear" w:color="auto" w:fill="1F3864"/>
          </w:tcPr>
          <w:p>
            <w:r/>
            <w:r>
              <w:rPr>
                <w:rFonts w:ascii="Calibri" w:hAnsi="Calibri" w:cs="Calibri" w:eastAsia="Calibri"/>
                <w:b/>
                <w:i w:val="0"/>
                <w:color w:val="FFFFFF"/>
                <w:sz w:val="18"/>
                <w:szCs w:val="18"/>
                <w:bCs/>
              </w:rPr>
              <w:t>Level</w:t>
            </w:r>
          </w:p>
        </w:tc>
        <w:tc>
          <w:tcPr>
            <w:tcW w:type="dxa" w:w="3402"/>
            <w:shd w:val="clear" w:color="auto" w:fill="1F3864"/>
          </w:tcPr>
          <w:p>
            <w:r/>
            <w:r>
              <w:rPr>
                <w:rFonts w:ascii="Calibri" w:hAnsi="Calibri" w:cs="Calibri" w:eastAsia="Calibri"/>
                <w:b/>
                <w:i w:val="0"/>
                <w:color w:val="FFFFFF"/>
                <w:sz w:val="18"/>
                <w:szCs w:val="18"/>
                <w:bCs/>
              </w:rPr>
              <w:t>Required action</w:t>
            </w:r>
          </w:p>
        </w:tc>
        <w:tc>
          <w:tcPr>
            <w:tcW w:type="dxa" w:w="2835"/>
            <w:shd w:val="clear" w:color="auto" w:fill="1F3864"/>
          </w:tcPr>
          <w:p>
            <w:r/>
            <w:r>
              <w:rPr>
                <w:rFonts w:ascii="Calibri" w:hAnsi="Calibri" w:cs="Calibri" w:eastAsia="Calibri"/>
                <w:b/>
                <w:i w:val="0"/>
                <w:color w:val="FFFFFF"/>
                <w:sz w:val="18"/>
                <w:szCs w:val="18"/>
                <w:bCs/>
              </w:rPr>
              <w:t>Acceptance authority</w:t>
            </w:r>
          </w:p>
        </w:tc>
      </w:tr>
      <w:tr>
        <w:tc>
          <w:tcPr>
            <w:tcW w:type="dxa" w:w="1701"/>
          </w:tcPr>
          <w:p>
            <w:r/>
            <w:r>
              <w:rPr>
                <w:rFonts w:ascii="Calibri" w:hAnsi="Calibri" w:cs="Calibri" w:eastAsia="Calibri"/>
                <w:b w:val="0"/>
                <w:i w:val="0"/>
                <w:sz w:val="18"/>
                <w:szCs w:val="18"/>
              </w:rPr>
              <w:t>15 to 25</w:t>
            </w:r>
          </w:p>
        </w:tc>
        <w:tc>
          <w:tcPr>
            <w:tcW w:type="dxa" w:w="1417"/>
          </w:tcPr>
          <w:p>
            <w:r/>
            <w:r>
              <w:rPr>
                <w:rFonts w:ascii="Calibri" w:hAnsi="Calibri" w:cs="Calibri" w:eastAsia="Calibri"/>
                <w:b w:val="0"/>
                <w:i w:val="0"/>
                <w:sz w:val="18"/>
                <w:szCs w:val="18"/>
              </w:rPr>
              <w:t>Critical</w:t>
            </w:r>
          </w:p>
        </w:tc>
        <w:tc>
          <w:tcPr>
            <w:tcW w:type="dxa" w:w="3402"/>
          </w:tcPr>
          <w:p>
            <w:r/>
            <w:r>
              <w:rPr>
                <w:rFonts w:ascii="Calibri" w:hAnsi="Calibri" w:cs="Calibri" w:eastAsia="Calibri"/>
                <w:b w:val="0"/>
                <w:i w:val="0"/>
                <w:sz w:val="18"/>
                <w:szCs w:val="18"/>
              </w:rPr>
              <w:t>Treat immediately; report to Information Security Steering Committee (ISSC) within 5 working days</w:t>
            </w:r>
          </w:p>
        </w:tc>
        <w:tc>
          <w:tcPr>
            <w:tcW w:type="dxa" w:w="2835"/>
          </w:tcPr>
          <w:p>
            <w:r/>
            <w:r>
              <w:rPr>
                <w:rFonts w:ascii="Calibri" w:hAnsi="Calibri" w:cs="Calibri" w:eastAsia="Calibri"/>
                <w:b w:val="0"/>
                <w:i w:val="0"/>
                <w:sz w:val="18"/>
                <w:szCs w:val="18"/>
              </w:rPr>
              <w:t>Chief Executive Officer (CEO) with Information Security Steering Committee (ISSC) endorsement</w:t>
            </w:r>
          </w:p>
        </w:tc>
      </w:tr>
      <w:tr>
        <w:tc>
          <w:tcPr>
            <w:tcW w:type="dxa" w:w="1701"/>
          </w:tcPr>
          <w:p>
            <w:r/>
            <w:r>
              <w:rPr>
                <w:rFonts w:ascii="Calibri" w:hAnsi="Calibri" w:cs="Calibri" w:eastAsia="Calibri"/>
                <w:b w:val="0"/>
                <w:i w:val="0"/>
                <w:sz w:val="18"/>
                <w:szCs w:val="18"/>
              </w:rPr>
              <w:t>10 to 14</w:t>
            </w:r>
          </w:p>
        </w:tc>
        <w:tc>
          <w:tcPr>
            <w:tcW w:type="dxa" w:w="1417"/>
          </w:tcPr>
          <w:p>
            <w:r/>
            <w:r>
              <w:rPr>
                <w:rFonts w:ascii="Calibri" w:hAnsi="Calibri" w:cs="Calibri" w:eastAsia="Calibri"/>
                <w:b w:val="0"/>
                <w:i w:val="0"/>
                <w:sz w:val="18"/>
                <w:szCs w:val="18"/>
              </w:rPr>
              <w:t>High</w:t>
            </w:r>
          </w:p>
        </w:tc>
        <w:tc>
          <w:tcPr>
            <w:tcW w:type="dxa" w:w="3402"/>
          </w:tcPr>
          <w:p>
            <w:r/>
            <w:r>
              <w:rPr>
                <w:rFonts w:ascii="Calibri" w:hAnsi="Calibri" w:cs="Calibri" w:eastAsia="Calibri"/>
                <w:b w:val="0"/>
                <w:i w:val="0"/>
                <w:sz w:val="18"/>
                <w:szCs w:val="18"/>
              </w:rPr>
              <w:t>Treatment plan within 30 days</w:t>
            </w:r>
          </w:p>
        </w:tc>
        <w:tc>
          <w:tcPr>
            <w:tcW w:type="dxa" w:w="2835"/>
          </w:tcPr>
          <w:p>
            <w:r/>
            <w:r>
              <w:rPr>
                <w:rFonts w:ascii="Calibri" w:hAnsi="Calibri" w:cs="Calibri" w:eastAsia="Calibri"/>
                <w:b w:val="0"/>
                <w:i w:val="0"/>
                <w:sz w:val="18"/>
                <w:szCs w:val="18"/>
              </w:rPr>
              <w:t>Chief Information Officer (CIO) or business executive</w:t>
            </w:r>
          </w:p>
        </w:tc>
      </w:tr>
      <w:tr>
        <w:tc>
          <w:tcPr>
            <w:tcW w:type="dxa" w:w="1701"/>
          </w:tcPr>
          <w:p>
            <w:r/>
            <w:r>
              <w:rPr>
                <w:rFonts w:ascii="Calibri" w:hAnsi="Calibri" w:cs="Calibri" w:eastAsia="Calibri"/>
                <w:b w:val="0"/>
                <w:i w:val="0"/>
                <w:sz w:val="18"/>
                <w:szCs w:val="18"/>
              </w:rPr>
              <w:t>5 to 9</w:t>
            </w:r>
          </w:p>
        </w:tc>
        <w:tc>
          <w:tcPr>
            <w:tcW w:type="dxa" w:w="1417"/>
          </w:tcPr>
          <w:p>
            <w:r/>
            <w:r>
              <w:rPr>
                <w:rFonts w:ascii="Calibri" w:hAnsi="Calibri" w:cs="Calibri" w:eastAsia="Calibri"/>
                <w:b w:val="0"/>
                <w:i w:val="0"/>
                <w:sz w:val="18"/>
                <w:szCs w:val="18"/>
              </w:rPr>
              <w:t>Medium</w:t>
            </w:r>
          </w:p>
        </w:tc>
        <w:tc>
          <w:tcPr>
            <w:tcW w:type="dxa" w:w="3402"/>
          </w:tcPr>
          <w:p>
            <w:r/>
            <w:r>
              <w:rPr>
                <w:rFonts w:ascii="Calibri" w:hAnsi="Calibri" w:cs="Calibri" w:eastAsia="Calibri"/>
                <w:b w:val="0"/>
                <w:i w:val="0"/>
                <w:sz w:val="18"/>
                <w:szCs w:val="18"/>
              </w:rPr>
              <w:t>Treatment plan within 90 days</w:t>
            </w:r>
          </w:p>
        </w:tc>
        <w:tc>
          <w:tcPr>
            <w:tcW w:type="dxa" w:w="2835"/>
          </w:tcPr>
          <w:p>
            <w:r/>
            <w:r>
              <w:rPr>
                <w:rFonts w:ascii="Calibri" w:hAnsi="Calibri" w:cs="Calibri" w:eastAsia="Calibri"/>
                <w:b w:val="0"/>
                <w:i w:val="0"/>
                <w:sz w:val="18"/>
                <w:szCs w:val="18"/>
              </w:rPr>
              <w:t>Risk owner (department head)</w:t>
            </w:r>
          </w:p>
        </w:tc>
      </w:tr>
      <w:tr>
        <w:tc>
          <w:tcPr>
            <w:tcW w:type="dxa" w:w="1701"/>
          </w:tcPr>
          <w:p>
            <w:r/>
            <w:r>
              <w:rPr>
                <w:rFonts w:ascii="Calibri" w:hAnsi="Calibri" w:cs="Calibri" w:eastAsia="Calibri"/>
                <w:b w:val="0"/>
                <w:i w:val="0"/>
                <w:sz w:val="18"/>
                <w:szCs w:val="18"/>
              </w:rPr>
              <w:t>1 to 4</w:t>
            </w:r>
          </w:p>
        </w:tc>
        <w:tc>
          <w:tcPr>
            <w:tcW w:type="dxa" w:w="1417"/>
          </w:tcPr>
          <w:p>
            <w:r/>
            <w:r>
              <w:rPr>
                <w:rFonts w:ascii="Calibri" w:hAnsi="Calibri" w:cs="Calibri" w:eastAsia="Calibri"/>
                <w:b w:val="0"/>
                <w:i w:val="0"/>
                <w:sz w:val="18"/>
                <w:szCs w:val="18"/>
              </w:rPr>
              <w:t>Low</w:t>
            </w:r>
          </w:p>
        </w:tc>
        <w:tc>
          <w:tcPr>
            <w:tcW w:type="dxa" w:w="3402"/>
          </w:tcPr>
          <w:p>
            <w:r/>
            <w:r>
              <w:rPr>
                <w:rFonts w:ascii="Calibri" w:hAnsi="Calibri" w:cs="Calibri" w:eastAsia="Calibri"/>
                <w:b w:val="0"/>
                <w:i w:val="0"/>
                <w:sz w:val="18"/>
                <w:szCs w:val="18"/>
              </w:rPr>
              <w:t>Manage through routine operations</w:t>
            </w:r>
          </w:p>
        </w:tc>
        <w:tc>
          <w:tcPr>
            <w:tcW w:type="dxa" w:w="2835"/>
          </w:tcPr>
          <w:p>
            <w:r/>
            <w:r>
              <w:rPr>
                <w:rFonts w:ascii="Calibri" w:hAnsi="Calibri" w:cs="Calibri" w:eastAsia="Calibri"/>
                <w:b w:val="0"/>
                <w:i w:val="0"/>
                <w:sz w:val="18"/>
                <w:szCs w:val="18"/>
              </w:rPr>
              <w:t>Risk owner</w:t>
            </w:r>
          </w:p>
        </w:tc>
      </w:tr>
    </w:tbl>
    <w:p>
      <w:pPr>
        <w:spacing w:after="40"/>
      </w:pPr>
    </w:p>
    <w:p>
      <w:pPr>
        <w:pStyle w:val="Heading2"/>
        <w:keepNext/>
        <w:spacing w:before="120" w:after="80"/>
      </w:pPr>
      <w:r>
        <w:rPr>
          <w:rFonts w:ascii="Calibri" w:hAnsi="Calibri" w:cs="Calibri" w:eastAsia="Calibri"/>
          <w:b/>
          <w:i w:val="0"/>
          <w:color w:val="1F3864"/>
          <w:sz w:val="24"/>
          <w:szCs w:val="24"/>
          <w:bCs/>
        </w:rPr>
        <w:t>4.7 Risk Treatment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treatment options and how controls are selected and recorded (ISO/IEC 27001:2022 Clause 6.1.3).</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Mitigate: apply controls, selected with reference to CSF 2.0, ISO/IEC 27001 Annex A, and CIS Controls v8.1.</w:t>
      </w:r>
    </w:p>
    <w:p>
      <w:pPr>
        <w:pStyle w:val="ListBullet"/>
        <w:spacing w:after="40"/>
      </w:pPr>
      <w:r>
        <w:rPr>
          <w:rFonts w:ascii="Calibri" w:hAnsi="Calibri" w:cs="Calibri" w:eastAsia="Calibri"/>
          <w:b w:val="0"/>
          <w:i w:val="0"/>
          <w:sz w:val="21"/>
          <w:szCs w:val="21"/>
        </w:rPr>
        <w:t>Avoid: stop the activity that creates the risk.</w:t>
      </w:r>
    </w:p>
    <w:p>
      <w:pPr>
        <w:pStyle w:val="ListBullet"/>
        <w:spacing w:after="40"/>
      </w:pPr>
      <w:r>
        <w:rPr>
          <w:rFonts w:ascii="Calibri" w:hAnsi="Calibri" w:cs="Calibri" w:eastAsia="Calibri"/>
          <w:b w:val="0"/>
          <w:i w:val="0"/>
          <w:sz w:val="21"/>
          <w:szCs w:val="21"/>
        </w:rPr>
        <w:t>Transfer: share the risk, for example through cyber insurance or contracts. Accountability stays with the organization.</w:t>
      </w:r>
    </w:p>
    <w:p>
      <w:pPr>
        <w:pStyle w:val="ListBullet"/>
        <w:spacing w:after="40"/>
      </w:pPr>
      <w:r>
        <w:rPr>
          <w:rFonts w:ascii="Calibri" w:hAnsi="Calibri" w:cs="Calibri" w:eastAsia="Calibri"/>
          <w:b w:val="0"/>
          <w:i w:val="0"/>
          <w:sz w:val="21"/>
          <w:szCs w:val="21"/>
        </w:rPr>
        <w:t>Accept: record formal acceptance using the Risk Acceptance Form (GV-FRM-001).</w:t>
      </w:r>
    </w:p>
    <w:p>
      <w:pPr>
        <w:pStyle w:val="ListBullet"/>
        <w:spacing w:after="40"/>
      </w:pPr>
      <w:r>
        <w:rPr>
          <w:rFonts w:ascii="Calibri" w:hAnsi="Calibri" w:cs="Calibri" w:eastAsia="Calibri"/>
          <w:b w:val="0"/>
          <w:i w:val="0"/>
          <w:sz w:val="21"/>
          <w:szCs w:val="21"/>
        </w:rPr>
        <w:t>Record treatments in the Risk Treatment Plan (ID-PLN-001) with owners, dates, and target residual risk.</w:t>
      </w:r>
    </w:p>
    <w:p>
      <w:pPr>
        <w:pStyle w:val="Heading2"/>
        <w:keepNext/>
        <w:spacing w:before="120" w:after="80"/>
      </w:pPr>
      <w:r>
        <w:rPr>
          <w:rFonts w:ascii="Calibri" w:hAnsi="Calibri" w:cs="Calibri" w:eastAsia="Calibri"/>
          <w:b/>
          <w:i w:val="0"/>
          <w:color w:val="1F3864"/>
          <w:sz w:val="24"/>
          <w:szCs w:val="24"/>
          <w:bCs/>
        </w:rPr>
        <w:t>4.8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GV-FRM-001: Risk Acceptance Form</w:t>
      </w:r>
    </w:p>
    <w:p>
      <w:pPr>
        <w:pStyle w:val="ListBullet"/>
        <w:spacing w:after="40"/>
      </w:pPr>
      <w:r>
        <w:rPr>
          <w:rFonts w:ascii="Calibri" w:hAnsi="Calibri" w:cs="Calibri" w:eastAsia="Calibri"/>
          <w:b w:val="0"/>
          <w:i w:val="0"/>
          <w:sz w:val="21"/>
          <w:szCs w:val="21"/>
        </w:rPr>
        <w:t>GV-REG-005: Statement of Applicability (SoA)</w:t>
      </w:r>
    </w:p>
    <w:p>
      <w:pPr>
        <w:pStyle w:val="ListBullet"/>
        <w:spacing w:after="40"/>
      </w:pPr>
      <w:r>
        <w:rPr>
          <w:rFonts w:ascii="Calibri" w:hAnsi="Calibri" w:cs="Calibri" w:eastAsia="Calibri"/>
          <w:b w:val="0"/>
          <w:i w:val="0"/>
          <w:sz w:val="21"/>
          <w:szCs w:val="21"/>
        </w:rPr>
        <w:t>ID-REG-005: IT and Cybersecurity Risk Register</w:t>
      </w:r>
    </w:p>
    <w:p>
      <w:pPr>
        <w:pStyle w:val="ListBullet"/>
        <w:spacing w:after="40"/>
      </w:pPr>
      <w:r>
        <w:rPr>
          <w:rFonts w:ascii="Calibri" w:hAnsi="Calibri" w:cs="Calibri" w:eastAsia="Calibri"/>
          <w:b w:val="0"/>
          <w:i w:val="0"/>
          <w:sz w:val="21"/>
          <w:szCs w:val="21"/>
        </w:rPr>
        <w:t>ID-RPT-003: Cybersecurity Risk Assessment Report</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Calibrate the scales with the business before the first assessment; agree what 'Major' means in money and downtime.</w:t>
      </w:r>
    </w:p>
    <w:p>
      <w:pPr>
        <w:pStyle w:val="ListBullet"/>
        <w:spacing w:after="40"/>
      </w:pPr>
      <w:r>
        <w:rPr>
          <w:rFonts w:ascii="Calibri" w:hAnsi="Calibri" w:cs="Calibri" w:eastAsia="Calibri"/>
          <w:b w:val="0"/>
          <w:i w:val="0"/>
          <w:sz w:val="21"/>
          <w:szCs w:val="21"/>
        </w:rPr>
        <w:t>Rate inherent and residual risk separately to show the value of controls.</w:t>
      </w:r>
    </w:p>
    <w:p>
      <w:pPr>
        <w:pStyle w:val="ListBullet"/>
        <w:spacing w:after="40"/>
      </w:pPr>
      <w:r>
        <w:rPr>
          <w:rFonts w:ascii="Calibri" w:hAnsi="Calibri" w:cs="Calibri" w:eastAsia="Calibri"/>
          <w:b w:val="0"/>
          <w:i w:val="0"/>
          <w:sz w:val="21"/>
          <w:szCs w:val="21"/>
        </w:rPr>
        <w:t>Keep the method simple enough for business owners to apply without the security team in the room.</w:t>
      </w:r>
    </w:p>
    <w:p>
      <w:pPr>
        <w:pStyle w:val="ListBullet"/>
        <w:spacing w:after="40"/>
      </w:pPr>
      <w:r>
        <w:rPr>
          <w:rFonts w:ascii="Calibri" w:hAnsi="Calibri" w:cs="Calibri" w:eastAsia="Calibri"/>
          <w:b w:val="0"/>
          <w:i w:val="0"/>
          <w:sz w:val="21"/>
          <w:szCs w:val="21"/>
        </w:rPr>
        <w:t>Consider quantitative methods such as FAIR (Factor Analysis of Information Risk) for the top risks when the Board asks for financial figures.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Using a scale that differs from ERM, so the CRO cannot aggregate cyber risk.</w:t>
      </w:r>
    </w:p>
    <w:p>
      <w:pPr>
        <w:pStyle w:val="ListBullet"/>
        <w:spacing w:after="40"/>
      </w:pPr>
      <w:r>
        <w:rPr>
          <w:rFonts w:ascii="Calibri" w:hAnsi="Calibri" w:cs="Calibri" w:eastAsia="Calibri"/>
          <w:b w:val="0"/>
          <w:i w:val="0"/>
          <w:sz w:val="21"/>
          <w:szCs w:val="21"/>
        </w:rPr>
        <w:t>Assessing hundreds of granular risks that nobody can manage instead of 15 to 30 meaningful scenarios.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GV.RM-06: A standardized method for calculating, documenting, categorizing, and prioritizing risks is established</w:t>
            </w:r>
          </w:p>
          <w:p>
            <w:r>
              <w:rPr>
                <w:rFonts w:ascii="Calibri" w:hAnsi="Calibri" w:cs="Calibri" w:eastAsia="Calibri"/>
                <w:b w:val="0"/>
                <w:i w:val="0"/>
                <w:sz w:val="18"/>
                <w:szCs w:val="18"/>
              </w:rPr>
              <w:t>ID.RA-03: Internal and external threats to the organization are identified and recorded</w:t>
            </w:r>
          </w:p>
          <w:p>
            <w:r>
              <w:rPr>
                <w:rFonts w:ascii="Calibri" w:hAnsi="Calibri" w:cs="Calibri" w:eastAsia="Calibri"/>
                <w:b w:val="0"/>
                <w:i w:val="0"/>
                <w:sz w:val="18"/>
                <w:szCs w:val="18"/>
              </w:rPr>
              <w:t>ID.RA-04: Potential impacts and likelihoods of threats exploiting vulnerabilities are identified and recorded</w:t>
            </w:r>
          </w:p>
          <w:p>
            <w:r>
              <w:rPr>
                <w:rFonts w:ascii="Calibri" w:hAnsi="Calibri" w:cs="Calibri" w:eastAsia="Calibri"/>
                <w:b w:val="0"/>
                <w:i w:val="0"/>
                <w:sz w:val="18"/>
                <w:szCs w:val="18"/>
              </w:rPr>
              <w:t>ID.RA-05: Threats, vulnerabilities, likelihoods, and impacts are used to understand inherent risk and inform prioritization</w:t>
            </w:r>
          </w:p>
          <w:p>
            <w:r>
              <w:rPr>
                <w:rFonts w:ascii="Calibri" w:hAnsi="Calibri" w:cs="Calibri" w:eastAsia="Calibri"/>
                <w:b w:val="0"/>
                <w:i w:val="0"/>
                <w:sz w:val="18"/>
                <w:szCs w:val="18"/>
              </w:rPr>
              <w:t>ID.RA-06: Risk responses are chosen, prioritized, planned, tracked, and communicated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6.1.2, Clause 6.1.3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RA-3, PM-9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6.1.2 and 6.1.3 (documented process); CSA s.54</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GV-POL-002: Cybersecurity Risk Management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GV-FRM-001: Risk Acceptance Form</w:t>
            </w:r>
          </w:p>
          <w:p>
            <w:r>
              <w:rPr>
                <w:rFonts w:ascii="Calibri" w:hAnsi="Calibri" w:cs="Calibri" w:eastAsia="Calibri"/>
                <w:b w:val="0"/>
                <w:i w:val="0"/>
                <w:sz w:val="18"/>
                <w:szCs w:val="18"/>
              </w:rPr>
              <w:t>GV-REG-005: Statement of Applicability (SoA)</w:t>
            </w:r>
          </w:p>
          <w:p>
            <w:r>
              <w:rPr>
                <w:rFonts w:ascii="Calibri" w:hAnsi="Calibri" w:cs="Calibri" w:eastAsia="Calibri"/>
                <w:b w:val="0"/>
                <w:i w:val="0"/>
                <w:sz w:val="18"/>
                <w:szCs w:val="18"/>
              </w:rPr>
              <w:t>ID-REG-005: IT and Cybersecurity Risk Register</w:t>
            </w:r>
          </w:p>
          <w:p>
            <w:r>
              <w:rPr>
                <w:rFonts w:ascii="Calibri" w:hAnsi="Calibri" w:cs="Calibri" w:eastAsia="Calibri"/>
                <w:b w:val="0"/>
                <w:i w:val="0"/>
                <w:sz w:val="18"/>
                <w:szCs w:val="18"/>
              </w:rPr>
              <w:t>ID-RPT-003: Cybersecurity Risk Assessment Report</w:t>
            </w:r>
          </w:p>
          <w:p>
            <w:r>
              <w:rPr>
                <w:rFonts w:ascii="Calibri" w:hAnsi="Calibri" w:cs="Calibri" w:eastAsia="Calibri"/>
                <w:b w:val="0"/>
                <w:i w:val="0"/>
                <w:sz w:val="18"/>
                <w:szCs w:val="18"/>
              </w:rPr>
              <w:t>ID-PRC-004: Threat Intelligence Procedure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GV-PRC-001  |  Risk Assessment and Treatment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