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Risk Appetite and Tolerance Statement</w:t>
      </w:r>
    </w:p>
    <w:p>
      <w:pPr>
        <w:spacing w:after="80" w:before="0"/>
      </w:pPr>
      <w:r>
        <w:rPr>
          <w:rFonts w:ascii="Calibri" w:hAnsi="Calibri" w:cs="Calibri" w:eastAsia="Calibri"/>
          <w:b w:val="0"/>
          <w:i w:val="0"/>
          <w:color w:val="595959"/>
          <w:sz w:val="18"/>
          <w:szCs w:val="18"/>
        </w:rPr>
        <w:t>GV-STM-001  |  Statement  |  Risk Management Strategy (GV.RM)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GV-STM-001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Risk Appetite and Tolerance Statement</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Quality and Risk Management Director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CMC Board of Directors</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0: Charter, Strategy, and Statement</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Statement</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Risk Management Strategy (GV.RM)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NIST IR 8286; ISO/IEC 27001:2022 Clause 6.1.2(a) risk acceptance criteria</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9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Quality and Risk Management Director</w:t>
            </w:r>
          </w:p>
        </w:tc>
        <w:tc>
          <w:tcPr>
            <w:tcW w:type="dxa" w:w="1531"/>
          </w:tcPr>
          <w:p>
            <w:r/>
            <w:r>
              <w:rPr>
                <w:rFonts w:ascii="Calibri" w:hAnsi="Calibri" w:cs="Calibri" w:eastAsia="Calibri"/>
                <w:b w:val="0"/>
                <w:i w:val="0"/>
                <w:sz w:val="18"/>
                <w:szCs w:val="18"/>
              </w:rPr>
              <w:t>CMC Board of Directors</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 April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Quality and Risk Management Director</w:t>
            </w:r>
          </w:p>
        </w:tc>
        <w:tc>
          <w:tcPr>
            <w:tcW w:type="dxa" w:w="1531"/>
          </w:tcPr>
          <w:p>
            <w:r/>
            <w:r>
              <w:rPr>
                <w:rFonts w:ascii="Calibri" w:hAnsi="Calibri" w:cs="Calibri" w:eastAsia="Calibri"/>
                <w:b w:val="0"/>
                <w:i w:val="0"/>
                <w:sz w:val="18"/>
                <w:szCs w:val="18"/>
              </w:rPr>
              <w:t>CMC Board of Directors</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statement defines how much cybersecurity risk Chaophraya Medical Center (CMC) is willing to accept in pursuit of its objectives (risk appetite) and the acceptable variation around it (risk tolerance), so that risk decisions are consistent.</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statement covers Chaophraya Medical Center (CMC) as a whole, including all business units, sites, and outsourced services.</w:t>
      </w:r>
    </w:p>
    <w:p>
      <w:pPr>
        <w:pStyle w:val="Heading2"/>
        <w:keepNext/>
        <w:spacing w:before="120" w:after="80"/>
      </w:pPr>
      <w:r>
        <w:rPr>
          <w:rFonts w:ascii="Calibri" w:hAnsi="Calibri" w:cs="Calibri" w:eastAsia="Calibri"/>
          <w:b/>
          <w:i w:val="0"/>
          <w:color w:val="1F3864"/>
          <w:sz w:val="24"/>
          <w:szCs w:val="24"/>
          <w:bCs/>
        </w:rPr>
        <w:t>4.3 Appetite Statements by Risk Area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appetite qualitatively for each risk area, in business language.</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551"/>
        <w:gridCol w:w="1417"/>
        <w:gridCol w:w="5386"/>
      </w:tblGrid>
      <w:tr>
        <w:trPr>
          <w:tblHeader w:val="true"/>
        </w:trPr>
        <w:tc>
          <w:tcPr>
            <w:tcW w:type="dxa" w:w="2551"/>
            <w:shd w:val="clear" w:color="auto" w:fill="1F3864"/>
          </w:tcPr>
          <w:p>
            <w:r/>
            <w:r>
              <w:rPr>
                <w:rFonts w:ascii="Calibri" w:hAnsi="Calibri" w:cs="Calibri" w:eastAsia="Calibri"/>
                <w:b/>
                <w:i w:val="0"/>
                <w:color w:val="FFFFFF"/>
                <w:sz w:val="18"/>
                <w:szCs w:val="18"/>
                <w:bCs/>
              </w:rPr>
              <w:t>Risk area</w:t>
            </w:r>
          </w:p>
        </w:tc>
        <w:tc>
          <w:tcPr>
            <w:tcW w:type="dxa" w:w="1417"/>
            <w:shd w:val="clear" w:color="auto" w:fill="1F3864"/>
          </w:tcPr>
          <w:p>
            <w:r/>
            <w:r>
              <w:rPr>
                <w:rFonts w:ascii="Calibri" w:hAnsi="Calibri" w:cs="Calibri" w:eastAsia="Calibri"/>
                <w:b/>
                <w:i w:val="0"/>
                <w:color w:val="FFFFFF"/>
                <w:sz w:val="18"/>
                <w:szCs w:val="18"/>
                <w:bCs/>
              </w:rPr>
              <w:t>Appetite</w:t>
            </w:r>
          </w:p>
        </w:tc>
        <w:tc>
          <w:tcPr>
            <w:tcW w:type="dxa" w:w="5386"/>
            <w:shd w:val="clear" w:color="auto" w:fill="1F3864"/>
          </w:tcPr>
          <w:p>
            <w:r/>
            <w:r>
              <w:rPr>
                <w:rFonts w:ascii="Calibri" w:hAnsi="Calibri" w:cs="Calibri" w:eastAsia="Calibri"/>
                <w:b/>
                <w:i w:val="0"/>
                <w:color w:val="FFFFFF"/>
                <w:sz w:val="18"/>
                <w:szCs w:val="18"/>
                <w:bCs/>
              </w:rPr>
              <w:t>Statement</w:t>
            </w:r>
          </w:p>
        </w:tc>
      </w:tr>
      <w:tr>
        <w:tc>
          <w:tcPr>
            <w:tcW w:type="dxa" w:w="2551"/>
          </w:tcPr>
          <w:p>
            <w:r/>
            <w:r>
              <w:rPr>
                <w:rFonts w:ascii="Calibri" w:hAnsi="Calibri" w:cs="Calibri" w:eastAsia="Calibri"/>
                <w:b w:val="0"/>
                <w:i w:val="0"/>
                <w:sz w:val="18"/>
                <w:szCs w:val="18"/>
              </w:rPr>
              <w:t>Patient safety and clinical system availability</w:t>
            </w:r>
          </w:p>
        </w:tc>
        <w:tc>
          <w:tcPr>
            <w:tcW w:type="dxa" w:w="1417"/>
          </w:tcPr>
          <w:p>
            <w:r/>
            <w:r>
              <w:rPr>
                <w:rFonts w:ascii="Calibri" w:hAnsi="Calibri" w:cs="Calibri" w:eastAsia="Calibri"/>
                <w:b w:val="0"/>
                <w:i w:val="0"/>
                <w:sz w:val="18"/>
                <w:szCs w:val="18"/>
              </w:rPr>
              <w:t>Very low</w:t>
            </w:r>
          </w:p>
        </w:tc>
        <w:tc>
          <w:tcPr>
            <w:tcW w:type="dxa" w:w="5386"/>
          </w:tcPr>
          <w:p>
            <w:r/>
            <w:r>
              <w:rPr>
                <w:rFonts w:ascii="Calibri" w:hAnsi="Calibri" w:cs="Calibri" w:eastAsia="Calibri"/>
                <w:b w:val="0"/>
                <w:i w:val="0"/>
                <w:sz w:val="18"/>
                <w:szCs w:val="18"/>
              </w:rPr>
              <w:t>CMC does not accept cyber risk that could harm patients or stop emergency care.</w:t>
            </w:r>
          </w:p>
        </w:tc>
      </w:tr>
      <w:tr>
        <w:tc>
          <w:tcPr>
            <w:tcW w:type="dxa" w:w="2551"/>
          </w:tcPr>
          <w:p>
            <w:r/>
            <w:r>
              <w:rPr>
                <w:rFonts w:ascii="Calibri" w:hAnsi="Calibri" w:cs="Calibri" w:eastAsia="Calibri"/>
                <w:b w:val="0"/>
                <w:i w:val="0"/>
                <w:sz w:val="18"/>
                <w:szCs w:val="18"/>
              </w:rPr>
              <w:t>Patient health data</w:t>
            </w:r>
          </w:p>
        </w:tc>
        <w:tc>
          <w:tcPr>
            <w:tcW w:type="dxa" w:w="1417"/>
          </w:tcPr>
          <w:p>
            <w:r/>
            <w:r>
              <w:rPr>
                <w:rFonts w:ascii="Calibri" w:hAnsi="Calibri" w:cs="Calibri" w:eastAsia="Calibri"/>
                <w:b w:val="0"/>
                <w:i w:val="0"/>
                <w:sz w:val="18"/>
                <w:szCs w:val="18"/>
              </w:rPr>
              <w:t>Very low</w:t>
            </w:r>
          </w:p>
        </w:tc>
        <w:tc>
          <w:tcPr>
            <w:tcW w:type="dxa" w:w="5386"/>
          </w:tcPr>
          <w:p>
            <w:r/>
            <w:r>
              <w:rPr>
                <w:rFonts w:ascii="Calibri" w:hAnsi="Calibri" w:cs="Calibri" w:eastAsia="Calibri"/>
                <w:b w:val="0"/>
                <w:i w:val="0"/>
                <w:sz w:val="18"/>
                <w:szCs w:val="18"/>
              </w:rPr>
              <w:t>CMC does not accept unauthorized disclosure of patient data.</w:t>
            </w:r>
          </w:p>
        </w:tc>
      </w:tr>
      <w:tr>
        <w:tc>
          <w:tcPr>
            <w:tcW w:type="dxa" w:w="2551"/>
          </w:tcPr>
          <w:p>
            <w:r/>
            <w:r>
              <w:rPr>
                <w:rFonts w:ascii="Calibri" w:hAnsi="Calibri" w:cs="Calibri" w:eastAsia="Calibri"/>
                <w:b w:val="0"/>
                <w:i w:val="0"/>
                <w:sz w:val="18"/>
                <w:szCs w:val="18"/>
              </w:rPr>
              <w:t>Regulatory compliance (PDPA, CII)</w:t>
            </w:r>
          </w:p>
        </w:tc>
        <w:tc>
          <w:tcPr>
            <w:tcW w:type="dxa" w:w="1417"/>
          </w:tcPr>
          <w:p>
            <w:r/>
            <w:r>
              <w:rPr>
                <w:rFonts w:ascii="Calibri" w:hAnsi="Calibri" w:cs="Calibri" w:eastAsia="Calibri"/>
                <w:b w:val="0"/>
                <w:i w:val="0"/>
                <w:sz w:val="18"/>
                <w:szCs w:val="18"/>
              </w:rPr>
              <w:t>Very low</w:t>
            </w:r>
          </w:p>
        </w:tc>
        <w:tc>
          <w:tcPr>
            <w:tcW w:type="dxa" w:w="5386"/>
          </w:tcPr>
          <w:p>
            <w:r/>
            <w:r>
              <w:rPr>
                <w:rFonts w:ascii="Calibri" w:hAnsi="Calibri" w:cs="Calibri" w:eastAsia="Calibri"/>
                <w:b w:val="0"/>
                <w:i w:val="0"/>
                <w:sz w:val="18"/>
                <w:szCs w:val="18"/>
              </w:rPr>
              <w:t>CMC does not accept known non-compliance.</w:t>
            </w:r>
          </w:p>
        </w:tc>
      </w:tr>
      <w:tr>
        <w:tc>
          <w:tcPr>
            <w:tcW w:type="dxa" w:w="2551"/>
          </w:tcPr>
          <w:p>
            <w:r/>
            <w:r>
              <w:rPr>
                <w:rFonts w:ascii="Calibri" w:hAnsi="Calibri" w:cs="Calibri" w:eastAsia="Calibri"/>
                <w:b w:val="0"/>
                <w:i w:val="0"/>
                <w:sz w:val="18"/>
                <w:szCs w:val="18"/>
              </w:rPr>
              <w:t>Digital patient services</w:t>
            </w:r>
          </w:p>
        </w:tc>
        <w:tc>
          <w:tcPr>
            <w:tcW w:type="dxa" w:w="1417"/>
          </w:tcPr>
          <w:p>
            <w:r/>
            <w:r>
              <w:rPr>
                <w:rFonts w:ascii="Calibri" w:hAnsi="Calibri" w:cs="Calibri" w:eastAsia="Calibri"/>
                <w:b w:val="0"/>
                <w:i w:val="0"/>
                <w:sz w:val="18"/>
                <w:szCs w:val="18"/>
              </w:rPr>
              <w:t>Moderate</w:t>
            </w:r>
          </w:p>
        </w:tc>
        <w:tc>
          <w:tcPr>
            <w:tcW w:type="dxa" w:w="5386"/>
          </w:tcPr>
          <w:p>
            <w:r/>
            <w:r>
              <w:rPr>
                <w:rFonts w:ascii="Calibri" w:hAnsi="Calibri" w:cs="Calibri" w:eastAsia="Calibri"/>
                <w:b w:val="0"/>
                <w:i w:val="0"/>
                <w:sz w:val="18"/>
                <w:szCs w:val="18"/>
              </w:rPr>
              <w:t>CMC accepts moderate risk to expand the patient portal with security designed in.</w:t>
            </w:r>
          </w:p>
        </w:tc>
      </w:tr>
      <w:tr>
        <w:tc>
          <w:tcPr>
            <w:tcW w:type="dxa" w:w="2551"/>
          </w:tcPr>
          <w:p>
            <w:r/>
            <w:r>
              <w:rPr>
                <w:rFonts w:ascii="Calibri" w:hAnsi="Calibri" w:cs="Calibri" w:eastAsia="Calibri"/>
                <w:b w:val="0"/>
                <w:i w:val="0"/>
                <w:sz w:val="18"/>
                <w:szCs w:val="18"/>
              </w:rPr>
              <w:t>Medical device vendors</w:t>
            </w:r>
          </w:p>
        </w:tc>
        <w:tc>
          <w:tcPr>
            <w:tcW w:type="dxa" w:w="1417"/>
          </w:tcPr>
          <w:p>
            <w:r/>
            <w:r>
              <w:rPr>
                <w:rFonts w:ascii="Calibri" w:hAnsi="Calibri" w:cs="Calibri" w:eastAsia="Calibri"/>
                <w:b w:val="0"/>
                <w:i w:val="0"/>
                <w:sz w:val="18"/>
                <w:szCs w:val="18"/>
              </w:rPr>
              <w:t>Low</w:t>
            </w:r>
          </w:p>
        </w:tc>
        <w:tc>
          <w:tcPr>
            <w:tcW w:type="dxa" w:w="5386"/>
          </w:tcPr>
          <w:p>
            <w:r/>
            <w:r>
              <w:rPr>
                <w:rFonts w:ascii="Calibri" w:hAnsi="Calibri" w:cs="Calibri" w:eastAsia="Calibri"/>
                <w:b w:val="0"/>
                <w:i w:val="0"/>
                <w:sz w:val="18"/>
                <w:szCs w:val="18"/>
              </w:rPr>
              <w:t>Vendors must meet CMC remote access and patching requirements or accept compensating controls.</w:t>
            </w:r>
          </w:p>
        </w:tc>
      </w:tr>
    </w:tbl>
    <w:p>
      <w:pPr>
        <w:spacing w:after="40"/>
      </w:pPr>
    </w:p>
    <w:p>
      <w:pPr>
        <w:pStyle w:val="Heading2"/>
        <w:keepNext/>
        <w:spacing w:before="120" w:after="80"/>
      </w:pPr>
      <w:r>
        <w:rPr>
          <w:rFonts w:ascii="Calibri" w:hAnsi="Calibri" w:cs="Calibri" w:eastAsia="Calibri"/>
          <w:b/>
          <w:i w:val="0"/>
          <w:color w:val="1F3864"/>
          <w:sz w:val="24"/>
          <w:szCs w:val="24"/>
          <w:bCs/>
        </w:rPr>
        <w:t>4.4 Tolerance Thresholds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Translate appetite into measurable thresholds that trigger escalation.</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3969"/>
        <w:gridCol w:w="2551"/>
        <w:gridCol w:w="2835"/>
      </w:tblGrid>
      <w:tr>
        <w:trPr>
          <w:tblHeader w:val="true"/>
        </w:trPr>
        <w:tc>
          <w:tcPr>
            <w:tcW w:type="dxa" w:w="3969"/>
            <w:shd w:val="clear" w:color="auto" w:fill="1F3864"/>
          </w:tcPr>
          <w:p>
            <w:r/>
            <w:r>
              <w:rPr>
                <w:rFonts w:ascii="Calibri" w:hAnsi="Calibri" w:cs="Calibri" w:eastAsia="Calibri"/>
                <w:b/>
                <w:i w:val="0"/>
                <w:color w:val="FFFFFF"/>
                <w:sz w:val="18"/>
                <w:szCs w:val="18"/>
                <w:bCs/>
              </w:rPr>
              <w:t>Indicator (KRI)</w:t>
            </w:r>
          </w:p>
        </w:tc>
        <w:tc>
          <w:tcPr>
            <w:tcW w:type="dxa" w:w="2551"/>
            <w:shd w:val="clear" w:color="auto" w:fill="1F3864"/>
          </w:tcPr>
          <w:p>
            <w:r/>
            <w:r>
              <w:rPr>
                <w:rFonts w:ascii="Calibri" w:hAnsi="Calibri" w:cs="Calibri" w:eastAsia="Calibri"/>
                <w:b/>
                <w:i w:val="0"/>
                <w:color w:val="FFFFFF"/>
                <w:sz w:val="18"/>
                <w:szCs w:val="18"/>
                <w:bCs/>
              </w:rPr>
              <w:t>Tolerance</w:t>
            </w:r>
          </w:p>
        </w:tc>
        <w:tc>
          <w:tcPr>
            <w:tcW w:type="dxa" w:w="2835"/>
            <w:shd w:val="clear" w:color="auto" w:fill="1F3864"/>
          </w:tcPr>
          <w:p>
            <w:r/>
            <w:r>
              <w:rPr>
                <w:rFonts w:ascii="Calibri" w:hAnsi="Calibri" w:cs="Calibri" w:eastAsia="Calibri"/>
                <w:b/>
                <w:i w:val="0"/>
                <w:color w:val="FFFFFF"/>
                <w:sz w:val="18"/>
                <w:szCs w:val="18"/>
                <w:bCs/>
              </w:rPr>
              <w:t>Escalation when exceeded</w:t>
            </w:r>
          </w:p>
        </w:tc>
      </w:tr>
      <w:tr>
        <w:tc>
          <w:tcPr>
            <w:tcW w:type="dxa" w:w="3969"/>
          </w:tcPr>
          <w:p>
            <w:r/>
            <w:r>
              <w:rPr>
                <w:rFonts w:ascii="Calibri" w:hAnsi="Calibri" w:cs="Calibri" w:eastAsia="Calibri"/>
                <w:b w:val="0"/>
                <w:i w:val="0"/>
                <w:sz w:val="18"/>
                <w:szCs w:val="18"/>
              </w:rPr>
              <w:t>HIS unplanned downtime from a cyber event</w:t>
            </w:r>
          </w:p>
        </w:tc>
        <w:tc>
          <w:tcPr>
            <w:tcW w:type="dxa" w:w="2551"/>
          </w:tcPr>
          <w:p>
            <w:r/>
            <w:r>
              <w:rPr>
                <w:rFonts w:ascii="Calibri" w:hAnsi="Calibri" w:cs="Calibri" w:eastAsia="Calibri"/>
                <w:b w:val="0"/>
                <w:i w:val="0"/>
                <w:sz w:val="18"/>
                <w:szCs w:val="18"/>
              </w:rPr>
              <w:t>Not more than 4 hours</w:t>
            </w:r>
          </w:p>
        </w:tc>
        <w:tc>
          <w:tcPr>
            <w:tcW w:type="dxa" w:w="2835"/>
          </w:tcPr>
          <w:p>
            <w:r/>
            <w:r>
              <w:rPr>
                <w:rFonts w:ascii="Calibri" w:hAnsi="Calibri" w:cs="Calibri" w:eastAsia="Calibri"/>
                <w:b w:val="0"/>
                <w:i w:val="0"/>
                <w:sz w:val="18"/>
                <w:szCs w:val="18"/>
              </w:rPr>
              <w:t>CEO, Medical Director, ISSC</w:t>
            </w:r>
          </w:p>
        </w:tc>
      </w:tr>
      <w:tr>
        <w:tc>
          <w:tcPr>
            <w:tcW w:type="dxa" w:w="3969"/>
          </w:tcPr>
          <w:p>
            <w:r/>
            <w:r>
              <w:rPr>
                <w:rFonts w:ascii="Calibri" w:hAnsi="Calibri" w:cs="Calibri" w:eastAsia="Calibri"/>
                <w:b w:val="0"/>
                <w:i w:val="0"/>
                <w:sz w:val="18"/>
                <w:szCs w:val="18"/>
              </w:rPr>
              <w:t>PACS or LIS unplanned downtime from a cyber event</w:t>
            </w:r>
          </w:p>
        </w:tc>
        <w:tc>
          <w:tcPr>
            <w:tcW w:type="dxa" w:w="2551"/>
          </w:tcPr>
          <w:p>
            <w:r/>
            <w:r>
              <w:rPr>
                <w:rFonts w:ascii="Calibri" w:hAnsi="Calibri" w:cs="Calibri" w:eastAsia="Calibri"/>
                <w:b w:val="0"/>
                <w:i w:val="0"/>
                <w:sz w:val="18"/>
                <w:szCs w:val="18"/>
              </w:rPr>
              <w:t>Not more than 8 hours</w:t>
            </w:r>
          </w:p>
        </w:tc>
        <w:tc>
          <w:tcPr>
            <w:tcW w:type="dxa" w:w="2835"/>
          </w:tcPr>
          <w:p>
            <w:r/>
            <w:r>
              <w:rPr>
                <w:rFonts w:ascii="Calibri" w:hAnsi="Calibri" w:cs="Calibri" w:eastAsia="Calibri"/>
                <w:b w:val="0"/>
                <w:i w:val="0"/>
                <w:sz w:val="18"/>
                <w:szCs w:val="18"/>
              </w:rPr>
              <w:t>CIO and ISSC</w:t>
            </w:r>
          </w:p>
        </w:tc>
      </w:tr>
      <w:tr>
        <w:tc>
          <w:tcPr>
            <w:tcW w:type="dxa" w:w="3969"/>
          </w:tcPr>
          <w:p>
            <w:r/>
            <w:r>
              <w:rPr>
                <w:rFonts w:ascii="Calibri" w:hAnsi="Calibri" w:cs="Calibri" w:eastAsia="Calibri"/>
                <w:b w:val="0"/>
                <w:i w:val="0"/>
                <w:sz w:val="18"/>
                <w:szCs w:val="18"/>
              </w:rPr>
              <w:t>Critical vulnerabilities on internet-facing systems beyond 7 days</w:t>
            </w:r>
          </w:p>
        </w:tc>
        <w:tc>
          <w:tcPr>
            <w:tcW w:type="dxa" w:w="2551"/>
          </w:tcPr>
          <w:p>
            <w:r/>
            <w:r>
              <w:rPr>
                <w:rFonts w:ascii="Calibri" w:hAnsi="Calibri" w:cs="Calibri" w:eastAsia="Calibri"/>
                <w:b w:val="0"/>
                <w:i w:val="0"/>
                <w:sz w:val="18"/>
                <w:szCs w:val="18"/>
              </w:rPr>
              <w:t>Zero</w:t>
            </w:r>
          </w:p>
        </w:tc>
        <w:tc>
          <w:tcPr>
            <w:tcW w:type="dxa" w:w="2835"/>
          </w:tcPr>
          <w:p>
            <w:r/>
            <w:r>
              <w:rPr>
                <w:rFonts w:ascii="Calibri" w:hAnsi="Calibri" w:cs="Calibri" w:eastAsia="Calibri"/>
                <w:b w:val="0"/>
                <w:i w:val="0"/>
                <w:sz w:val="18"/>
                <w:szCs w:val="18"/>
              </w:rPr>
              <w:t>CIO</w:t>
            </w:r>
          </w:p>
        </w:tc>
      </w:tr>
      <w:tr>
        <w:tc>
          <w:tcPr>
            <w:tcW w:type="dxa" w:w="3969"/>
          </w:tcPr>
          <w:p>
            <w:r/>
            <w:r>
              <w:rPr>
                <w:rFonts w:ascii="Calibri" w:hAnsi="Calibri" w:cs="Calibri" w:eastAsia="Calibri"/>
                <w:b w:val="0"/>
                <w:i w:val="0"/>
                <w:sz w:val="18"/>
                <w:szCs w:val="18"/>
              </w:rPr>
              <w:t>Notifiable personal data breaches</w:t>
            </w:r>
          </w:p>
        </w:tc>
        <w:tc>
          <w:tcPr>
            <w:tcW w:type="dxa" w:w="2551"/>
          </w:tcPr>
          <w:p>
            <w:r/>
            <w:r>
              <w:rPr>
                <w:rFonts w:ascii="Calibri" w:hAnsi="Calibri" w:cs="Calibri" w:eastAsia="Calibri"/>
                <w:b w:val="0"/>
                <w:i w:val="0"/>
                <w:sz w:val="18"/>
                <w:szCs w:val="18"/>
              </w:rPr>
              <w:t>Zero per year</w:t>
            </w:r>
          </w:p>
        </w:tc>
        <w:tc>
          <w:tcPr>
            <w:tcW w:type="dxa" w:w="2835"/>
          </w:tcPr>
          <w:p>
            <w:r/>
            <w:r>
              <w:rPr>
                <w:rFonts w:ascii="Calibri" w:hAnsi="Calibri" w:cs="Calibri" w:eastAsia="Calibri"/>
                <w:b w:val="0"/>
                <w:i w:val="0"/>
                <w:sz w:val="18"/>
                <w:szCs w:val="18"/>
              </w:rPr>
              <w:t>CEO and Audit Committee</w:t>
            </w:r>
          </w:p>
        </w:tc>
      </w:tr>
      <w:tr>
        <w:tc>
          <w:tcPr>
            <w:tcW w:type="dxa" w:w="3969"/>
          </w:tcPr>
          <w:p>
            <w:r/>
            <w:r>
              <w:rPr>
                <w:rFonts w:ascii="Calibri" w:hAnsi="Calibri" w:cs="Calibri" w:eastAsia="Calibri"/>
                <w:b w:val="0"/>
                <w:i w:val="0"/>
                <w:sz w:val="18"/>
                <w:szCs w:val="18"/>
              </w:rPr>
              <w:t>Vendor remote sessions without MFA or recording</w:t>
            </w:r>
          </w:p>
        </w:tc>
        <w:tc>
          <w:tcPr>
            <w:tcW w:type="dxa" w:w="2551"/>
          </w:tcPr>
          <w:p>
            <w:r/>
            <w:r>
              <w:rPr>
                <w:rFonts w:ascii="Calibri" w:hAnsi="Calibri" w:cs="Calibri" w:eastAsia="Calibri"/>
                <w:b w:val="0"/>
                <w:i w:val="0"/>
                <w:sz w:val="18"/>
                <w:szCs w:val="18"/>
              </w:rPr>
              <w:t>Zero</w:t>
            </w:r>
          </w:p>
        </w:tc>
        <w:tc>
          <w:tcPr>
            <w:tcW w:type="dxa" w:w="2835"/>
          </w:tcPr>
          <w:p>
            <w:r/>
            <w:r>
              <w:rPr>
                <w:rFonts w:ascii="Calibri" w:hAnsi="Calibri" w:cs="Calibri" w:eastAsia="Calibri"/>
                <w:b w:val="0"/>
                <w:i w:val="0"/>
                <w:sz w:val="18"/>
                <w:szCs w:val="18"/>
              </w:rPr>
              <w:t>Security Manager to CIO</w:t>
            </w:r>
          </w:p>
        </w:tc>
      </w:tr>
    </w:tbl>
    <w:p>
      <w:pPr>
        <w:spacing w:after="40"/>
      </w:pPr>
    </w:p>
    <w:p>
      <w:pPr>
        <w:pStyle w:val="Heading2"/>
        <w:keepNext/>
        <w:spacing w:before="120" w:after="80"/>
      </w:pPr>
      <w:r>
        <w:rPr>
          <w:rFonts w:ascii="Calibri" w:hAnsi="Calibri" w:cs="Calibri" w:eastAsia="Calibri"/>
          <w:b/>
          <w:i w:val="0"/>
          <w:color w:val="1F3864"/>
          <w:sz w:val="24"/>
          <w:szCs w:val="24"/>
          <w:bCs/>
        </w:rPr>
        <w:t>4.5 Use in Decisions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Explain how the statement is used in risk acceptance, project approval, and exceptions.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Risks above appetite require a treatment plan or formal acceptance at the level set in GV-PRC-001.</w:t>
      </w:r>
    </w:p>
    <w:p>
      <w:pPr>
        <w:pStyle w:val="ListBullet"/>
        <w:spacing w:after="40"/>
      </w:pPr>
      <w:r>
        <w:rPr>
          <w:rFonts w:ascii="Calibri" w:hAnsi="Calibri" w:cs="Calibri" w:eastAsia="Calibri"/>
          <w:b w:val="0"/>
          <w:i w:val="0"/>
          <w:sz w:val="21"/>
          <w:szCs w:val="21"/>
        </w:rPr>
        <w:t>Project business cases must state their effect on cyber risk.</w:t>
      </w:r>
    </w:p>
    <w:p>
      <w:pPr>
        <w:pStyle w:val="ListBullet"/>
        <w:spacing w:after="40"/>
      </w:pPr>
      <w:r>
        <w:rPr>
          <w:rFonts w:ascii="Calibri" w:hAnsi="Calibri" w:cs="Calibri" w:eastAsia="Calibri"/>
          <w:b w:val="0"/>
          <w:i w:val="0"/>
          <w:sz w:val="21"/>
          <w:szCs w:val="21"/>
        </w:rPr>
        <w:t>The Security Manager reports KRIs against tolerance to the Information Security Steering Committee (ISSC) each quarter.</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Draft the statement with the business, then have the Board approve it; a statement written only by IT will not be used.</w:t>
      </w:r>
    </w:p>
    <w:p>
      <w:pPr>
        <w:pStyle w:val="ListBullet"/>
        <w:spacing w:after="40"/>
      </w:pPr>
      <w:r>
        <w:rPr>
          <w:rFonts w:ascii="Calibri" w:hAnsi="Calibri" w:cs="Calibri" w:eastAsia="Calibri"/>
          <w:b w:val="0"/>
          <w:i w:val="0"/>
          <w:sz w:val="21"/>
          <w:szCs w:val="21"/>
        </w:rPr>
        <w:t>Align the cyber appetite with the enterprise risk management (ERM) framework so cyber risk is reported on the same scale (NIST IR 8286).</w:t>
      </w:r>
    </w:p>
    <w:p>
      <w:pPr>
        <w:pStyle w:val="ListBullet"/>
        <w:spacing w:after="40"/>
      </w:pPr>
      <w:r>
        <w:rPr>
          <w:rFonts w:ascii="Calibri" w:hAnsi="Calibri" w:cs="Calibri" w:eastAsia="Calibri"/>
          <w:b w:val="0"/>
          <w:i w:val="0"/>
          <w:sz w:val="21"/>
          <w:szCs w:val="21"/>
        </w:rPr>
        <w:t>Make every appetite statement measurable through at least one KRI.</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Stating 'zero risk' for everything, which makes the statement useless for decisions.</w:t>
      </w:r>
    </w:p>
    <w:p>
      <w:pPr>
        <w:pStyle w:val="ListBullet"/>
        <w:spacing w:after="40"/>
      </w:pPr>
      <w:r>
        <w:rPr>
          <w:rFonts w:ascii="Calibri" w:hAnsi="Calibri" w:cs="Calibri" w:eastAsia="Calibri"/>
          <w:b w:val="0"/>
          <w:i w:val="0"/>
          <w:sz w:val="21"/>
          <w:szCs w:val="21"/>
        </w:rPr>
        <w:t>Approving appetite without tolerance thresholds, so no one knows when to escalate.</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GV.RM-01: Risk management objectives are established and agreed to by stakeholders</w:t>
            </w:r>
          </w:p>
          <w:p>
            <w:r>
              <w:rPr>
                <w:rFonts w:ascii="Calibri" w:hAnsi="Calibri" w:cs="Calibri" w:eastAsia="Calibri"/>
                <w:b w:val="0"/>
                <w:i w:val="0"/>
                <w:sz w:val="18"/>
                <w:szCs w:val="18"/>
              </w:rPr>
              <w:t>GV.RM-02: Risk appetite and risk tolerance statements are established, communicated, and maintained</w:t>
            </w:r>
          </w:p>
          <w:p>
            <w:r>
              <w:rPr>
                <w:rFonts w:ascii="Calibri" w:hAnsi="Calibri" w:cs="Calibri" w:eastAsia="Calibri"/>
                <w:b w:val="0"/>
                <w:i w:val="0"/>
                <w:sz w:val="18"/>
                <w:szCs w:val="18"/>
              </w:rPr>
              <w:t>GV.RM-03: Cybersecurity risk management is included in enterprise risk management processes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6.1.2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PM-9, PM-28</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NIST IR 8286; ISO/IEC 27001:2022 Clause 6.1.2(a) risk acceptance criteria</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GV-CHR-001: Cybersecurity Governance Charter</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GV-POL-002: Cybersecurity Risk Management Policy</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GV-STM-001  |  Risk Appetite and Tolerance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