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Information Security Steering Committee Terms of Reference</w:t>
      </w:r>
    </w:p>
    <w:p>
      <w:pPr>
        <w:spacing w:after="80" w:before="0"/>
      </w:pPr>
      <w:r>
        <w:rPr>
          <w:rFonts w:ascii="Calibri" w:hAnsi="Calibri" w:cs="Calibri" w:eastAsia="Calibri"/>
          <w:b w:val="0"/>
          <w:i w:val="0"/>
          <w:color w:val="595959"/>
          <w:sz w:val="18"/>
          <w:szCs w:val="18"/>
        </w:rPr>
        <w:t>GV-CHR-002  |  Charter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GV-CHR-002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Information Security Steering Committee Terms of Reference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19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19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0: Charter, Strategy, and Statement</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Charter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5.1 and 5.3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10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19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These terms of reference set the purpose, authority, membership, and working rules of the Information Security Steering Committee (ISSC), the management body that directs and oversees the security program.</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charter covers Chaophraya Medical Center (CMC) as a whole, including all business units, sites, and outsourced services.</w:t>
      </w:r>
    </w:p>
    <w:p>
      <w:pPr>
        <w:pStyle w:val="Heading2"/>
        <w:keepNext/>
        <w:spacing w:before="120" w:after="80"/>
      </w:pPr>
      <w:r>
        <w:rPr>
          <w:rFonts w:ascii="Calibri" w:hAnsi="Calibri" w:cs="Calibri" w:eastAsia="Calibri"/>
          <w:b/>
          <w:i w:val="0"/>
          <w:color w:val="1F3864"/>
          <w:sz w:val="24"/>
          <w:szCs w:val="24"/>
          <w:bCs/>
        </w:rPr>
        <w:t>4.3 Membership and Quorum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members by role, the chair, the secretary, and the quorum.</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Role</w:t>
            </w:r>
          </w:p>
        </w:tc>
        <w:tc>
          <w:tcPr>
            <w:tcW w:type="dxa" w:w="7087"/>
            <w:shd w:val="clear" w:color="auto" w:fill="1F3864"/>
          </w:tcPr>
          <w:p>
            <w:r/>
            <w:r>
              <w:rPr>
                <w:rFonts w:ascii="Calibri" w:hAnsi="Calibri" w:cs="Calibri" w:eastAsia="Calibri"/>
                <w:b/>
                <w:i w:val="0"/>
                <w:color w:val="FFFFFF"/>
                <w:sz w:val="18"/>
                <w:szCs w:val="18"/>
                <w:bCs/>
              </w:rPr>
              <w:t>Position</w:t>
            </w:r>
          </w:p>
        </w:tc>
      </w:tr>
      <w:tr>
        <w:tc>
          <w:tcPr>
            <w:tcW w:type="dxa" w:w="2268"/>
          </w:tcPr>
          <w:p>
            <w:r/>
            <w:r>
              <w:rPr>
                <w:rFonts w:ascii="Calibri" w:hAnsi="Calibri" w:cs="Calibri" w:eastAsia="Calibri"/>
                <w:b w:val="0"/>
                <w:i w:val="0"/>
                <w:sz w:val="18"/>
                <w:szCs w:val="18"/>
              </w:rPr>
              <w:t>Chair</w:t>
            </w:r>
          </w:p>
        </w:tc>
        <w:tc>
          <w:tcPr>
            <w:tcW w:type="dxa" w:w="7087"/>
          </w:tcPr>
          <w:p>
            <w:r/>
            <w:r>
              <w:rPr>
                <w:rFonts w:ascii="Calibri" w:hAnsi="Calibri" w:cs="Calibri" w:eastAsia="Calibri"/>
                <w:b w:val="0"/>
                <w:i w:val="0"/>
                <w:sz w:val="18"/>
                <w:szCs w:val="18"/>
              </w:rPr>
              <w:t>CEO</w:t>
            </w:r>
          </w:p>
        </w:tc>
      </w:tr>
      <w:tr>
        <w:tc>
          <w:tcPr>
            <w:tcW w:type="dxa" w:w="2268"/>
          </w:tcPr>
          <w:p>
            <w:r/>
            <w:r>
              <w:rPr>
                <w:rFonts w:ascii="Calibri" w:hAnsi="Calibri" w:cs="Calibri" w:eastAsia="Calibri"/>
                <w:b w:val="0"/>
                <w:i w:val="0"/>
                <w:sz w:val="18"/>
                <w:szCs w:val="18"/>
              </w:rPr>
              <w:t>Members</w:t>
            </w:r>
          </w:p>
        </w:tc>
        <w:tc>
          <w:tcPr>
            <w:tcW w:type="dxa" w:w="7087"/>
          </w:tcPr>
          <w:p>
            <w:r/>
            <w:r>
              <w:rPr>
                <w:rFonts w:ascii="Calibri" w:hAnsi="Calibri" w:cs="Calibri" w:eastAsia="Calibri"/>
                <w:b w:val="0"/>
                <w:i w:val="0"/>
                <w:sz w:val="18"/>
                <w:szCs w:val="18"/>
              </w:rPr>
              <w:t>CIO, CFO, Medical Director, Director of Nursing, Quality and Risk Management Director, DPO, HR Director</w:t>
            </w:r>
          </w:p>
        </w:tc>
      </w:tr>
      <w:tr>
        <w:tc>
          <w:tcPr>
            <w:tcW w:type="dxa" w:w="2268"/>
          </w:tcPr>
          <w:p>
            <w:r/>
            <w:r>
              <w:rPr>
                <w:rFonts w:ascii="Calibri" w:hAnsi="Calibri" w:cs="Calibri" w:eastAsia="Calibri"/>
                <w:b w:val="0"/>
                <w:i w:val="0"/>
                <w:sz w:val="18"/>
                <w:szCs w:val="18"/>
              </w:rPr>
              <w:t>Secretary</w:t>
            </w:r>
          </w:p>
        </w:tc>
        <w:tc>
          <w:tcPr>
            <w:tcW w:type="dxa" w:w="7087"/>
          </w:tcPr>
          <w:p>
            <w:r/>
            <w:r>
              <w:rPr>
                <w:rFonts w:ascii="Calibri" w:hAnsi="Calibri" w:cs="Calibri" w:eastAsia="Calibri"/>
                <w:b w:val="0"/>
                <w:i w:val="0"/>
                <w:sz w:val="18"/>
                <w:szCs w:val="18"/>
              </w:rPr>
              <w:t>Security Manager</w:t>
            </w:r>
          </w:p>
        </w:tc>
      </w:tr>
      <w:tr>
        <w:tc>
          <w:tcPr>
            <w:tcW w:type="dxa" w:w="2268"/>
          </w:tcPr>
          <w:p>
            <w:r/>
            <w:r>
              <w:rPr>
                <w:rFonts w:ascii="Calibri" w:hAnsi="Calibri" w:cs="Calibri" w:eastAsia="Calibri"/>
                <w:b w:val="0"/>
                <w:i w:val="0"/>
                <w:sz w:val="18"/>
                <w:szCs w:val="18"/>
              </w:rPr>
              <w:t>Invited as needed</w:t>
            </w:r>
          </w:p>
        </w:tc>
        <w:tc>
          <w:tcPr>
            <w:tcW w:type="dxa" w:w="7087"/>
          </w:tcPr>
          <w:p>
            <w:r/>
            <w:r>
              <w:rPr>
                <w:rFonts w:ascii="Calibri" w:hAnsi="Calibri" w:cs="Calibri" w:eastAsia="Calibri"/>
                <w:b w:val="0"/>
                <w:i w:val="0"/>
                <w:sz w:val="18"/>
                <w:szCs w:val="18"/>
              </w:rPr>
              <w:t>Internal Audit Manager (observer), Legal Counsel, MSSP service manager</w:t>
            </w:r>
          </w:p>
        </w:tc>
      </w:tr>
      <w:tr>
        <w:tc>
          <w:tcPr>
            <w:tcW w:type="dxa" w:w="2268"/>
          </w:tcPr>
          <w:p>
            <w:r/>
            <w:r>
              <w:rPr>
                <w:rFonts w:ascii="Calibri" w:hAnsi="Calibri" w:cs="Calibri" w:eastAsia="Calibri"/>
                <w:b w:val="0"/>
                <w:i w:val="0"/>
                <w:sz w:val="18"/>
                <w:szCs w:val="18"/>
              </w:rPr>
              <w:t>Quorum</w:t>
            </w:r>
          </w:p>
        </w:tc>
        <w:tc>
          <w:tcPr>
            <w:tcW w:type="dxa" w:w="7087"/>
          </w:tcPr>
          <w:p>
            <w:r/>
            <w:r>
              <w:rPr>
                <w:rFonts w:ascii="Calibri" w:hAnsi="Calibri" w:cs="Calibri" w:eastAsia="Calibri"/>
                <w:b w:val="0"/>
                <w:i w:val="0"/>
                <w:sz w:val="18"/>
                <w:szCs w:val="18"/>
              </w:rPr>
              <w:t>Chair or CIO as delegate plus at least four members</w:t>
            </w:r>
          </w:p>
        </w:tc>
      </w:tr>
    </w:tbl>
    <w:p>
      <w:pPr>
        <w:spacing w:after="40"/>
      </w:pPr>
    </w:p>
    <w:p>
      <w:pPr>
        <w:pStyle w:val="Heading2"/>
        <w:keepNext/>
        <w:spacing w:before="120" w:after="80"/>
      </w:pPr>
      <w:r>
        <w:rPr>
          <w:rFonts w:ascii="Calibri" w:hAnsi="Calibri" w:cs="Calibri" w:eastAsia="Calibri"/>
          <w:b/>
          <w:i w:val="0"/>
          <w:color w:val="1F3864"/>
          <w:sz w:val="24"/>
          <w:szCs w:val="24"/>
          <w:bCs/>
        </w:rPr>
        <w:t>4.4 Responsibilities and Decision Rights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what the committee decides, recommends, and monitors.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Approve security standards (Tier 2) and endorse policies for Chief Executive Officer (CEO) approval.</w:t>
      </w:r>
    </w:p>
    <w:p>
      <w:pPr>
        <w:pStyle w:val="ListBullet"/>
        <w:spacing w:after="40"/>
      </w:pPr>
      <w:r>
        <w:rPr>
          <w:rFonts w:ascii="Calibri" w:hAnsi="Calibri" w:cs="Calibri" w:eastAsia="Calibri"/>
          <w:b w:val="0"/>
          <w:i w:val="0"/>
          <w:sz w:val="21"/>
          <w:szCs w:val="21"/>
        </w:rPr>
        <w:t>Approve High and Critical exceptions and risk acceptances within its authority.</w:t>
      </w:r>
    </w:p>
    <w:p>
      <w:pPr>
        <w:pStyle w:val="ListBullet"/>
        <w:spacing w:after="40"/>
      </w:pPr>
      <w:r>
        <w:rPr>
          <w:rFonts w:ascii="Calibri" w:hAnsi="Calibri" w:cs="Calibri" w:eastAsia="Calibri"/>
          <w:b w:val="0"/>
          <w:i w:val="0"/>
          <w:sz w:val="21"/>
          <w:szCs w:val="21"/>
        </w:rPr>
        <w:t>Review the risk register, KRIs, program status, incidents, and audit findings each quarter.</w:t>
      </w:r>
    </w:p>
    <w:p>
      <w:pPr>
        <w:pStyle w:val="ListBullet"/>
        <w:spacing w:after="40"/>
      </w:pPr>
      <w:r>
        <w:rPr>
          <w:rFonts w:ascii="Calibri" w:hAnsi="Calibri" w:cs="Calibri" w:eastAsia="Calibri"/>
          <w:b w:val="0"/>
          <w:i w:val="0"/>
          <w:sz w:val="21"/>
          <w:szCs w:val="21"/>
        </w:rPr>
        <w:t>Prioritize security investment and recommend the budget.</w:t>
      </w:r>
    </w:p>
    <w:p>
      <w:pPr>
        <w:pStyle w:val="ListBullet"/>
        <w:spacing w:after="40"/>
      </w:pPr>
      <w:r>
        <w:rPr>
          <w:rFonts w:ascii="Calibri" w:hAnsi="Calibri" w:cs="Calibri" w:eastAsia="Calibri"/>
          <w:b w:val="0"/>
          <w:i w:val="0"/>
          <w:sz w:val="21"/>
          <w:szCs w:val="21"/>
        </w:rPr>
        <w:t>Conduct the annual management review (GV-PRC-006).</w:t>
      </w:r>
    </w:p>
    <w:p>
      <w:pPr>
        <w:pStyle w:val="Heading2"/>
        <w:keepNext/>
        <w:spacing w:before="120" w:after="80"/>
      </w:pPr>
      <w:r>
        <w:rPr>
          <w:rFonts w:ascii="Calibri" w:hAnsi="Calibri" w:cs="Calibri" w:eastAsia="Calibri"/>
          <w:b/>
          <w:i w:val="0"/>
          <w:color w:val="1F3864"/>
          <w:sz w:val="24"/>
          <w:szCs w:val="24"/>
          <w:bCs/>
        </w:rPr>
        <w:t>4.5 Meetings and Records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meeting frequency, papers, minutes, and action tracking.</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Meets quarterly and within 48 hours of a Critical incident.</w:t>
      </w:r>
    </w:p>
    <w:p>
      <w:pPr>
        <w:pStyle w:val="ListBullet"/>
        <w:spacing w:after="40"/>
      </w:pPr>
      <w:r>
        <w:rPr>
          <w:rFonts w:ascii="Calibri" w:hAnsi="Calibri" w:cs="Calibri" w:eastAsia="Calibri"/>
          <w:b w:val="0"/>
          <w:i w:val="0"/>
          <w:sz w:val="21"/>
          <w:szCs w:val="21"/>
        </w:rPr>
        <w:t>Papers are circulated five working days before the meeting.</w:t>
      </w:r>
    </w:p>
    <w:p>
      <w:pPr>
        <w:pStyle w:val="ListBullet"/>
        <w:spacing w:after="40"/>
      </w:pPr>
      <w:r>
        <w:rPr>
          <w:rFonts w:ascii="Calibri" w:hAnsi="Calibri" w:cs="Calibri" w:eastAsia="Calibri"/>
          <w:b w:val="0"/>
          <w:i w:val="0"/>
          <w:sz w:val="21"/>
          <w:szCs w:val="21"/>
        </w:rPr>
        <w:t>The secretary issues minutes within five working days and tracks actions to closure (GV-REC-001).</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Chair the committee at CEO or deputy level so decisions carry business authority.</w:t>
      </w:r>
    </w:p>
    <w:p>
      <w:pPr>
        <w:pStyle w:val="ListBullet"/>
        <w:spacing w:after="40"/>
      </w:pPr>
      <w:r>
        <w:rPr>
          <w:rFonts w:ascii="Calibri" w:hAnsi="Calibri" w:cs="Calibri" w:eastAsia="Calibri"/>
          <w:b w:val="0"/>
          <w:i w:val="0"/>
          <w:sz w:val="21"/>
          <w:szCs w:val="21"/>
        </w:rPr>
        <w:t>Run meetings on decisions, not status updates; every agenda item should state the decision needed.</w:t>
      </w:r>
    </w:p>
    <w:p>
      <w:pPr>
        <w:pStyle w:val="ListBullet"/>
        <w:spacing w:after="40"/>
      </w:pPr>
      <w:r>
        <w:rPr>
          <w:rFonts w:ascii="Calibri" w:hAnsi="Calibri" w:cs="Calibri" w:eastAsia="Calibri"/>
          <w:b w:val="0"/>
          <w:i w:val="0"/>
          <w:sz w:val="21"/>
          <w:szCs w:val="21"/>
        </w:rPr>
        <w:t>Combine with the IT steering committee in smaller organizations to avoid meeting fatigue.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Members send junior delegates, so the committee cannot decide.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GV.RR-01: Leadership is responsible and accountable for cybersecurity risk and fosters a risk-aware culture</w:t>
            </w:r>
          </w:p>
          <w:p>
            <w:r>
              <w:rPr>
                <w:rFonts w:ascii="Calibri" w:hAnsi="Calibri" w:cs="Calibri" w:eastAsia="Calibri"/>
                <w:b w:val="0"/>
                <w:i w:val="0"/>
                <w:sz w:val="18"/>
                <w:szCs w:val="18"/>
              </w:rPr>
              <w:t>GV.OV-01: Risk management strategy outcomes are reviewed to inform and adjust strategy and direction</w:t>
            </w:r>
          </w:p>
          <w:p>
            <w:r>
              <w:rPr>
                <w:rFonts w:ascii="Calibri" w:hAnsi="Calibri" w:cs="Calibri" w:eastAsia="Calibri"/>
                <w:b w:val="0"/>
                <w:i w:val="0"/>
                <w:sz w:val="18"/>
                <w:szCs w:val="18"/>
              </w:rPr>
              <w:t>GV.OV-02: Risk management strategy is reviewed and adjusted to ensure coverage of requirements and risks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5.1, Clause 5.3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PM-2, PM-29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5.1 and 5.3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GV-PRC-006: Management Review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GV-CHR-002  |  Information Security Steering Committee Terms of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