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Confidentiality and Non-Disclosure Agreement</w:t>
      </w:r>
    </w:p>
    <w:p>
      <w:pPr>
        <w:spacing w:after="80" w:before="0"/>
      </w:pPr>
      <w:r>
        <w:rPr>
          <w:rFonts w:ascii="Calibri" w:hAnsi="Calibri" w:cs="Calibri" w:eastAsia="Calibri"/>
          <w:b w:val="0"/>
          <w:i w:val="0"/>
          <w:color w:val="595959"/>
          <w:sz w:val="18"/>
          <w:szCs w:val="18"/>
        </w:rPr>
        <w:t>GV-FRM-002  |  Form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Confidentiality and Non-Disclosure Agreement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20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20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6.6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 Evidence,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18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Legal Counsel</w:t>
            </w:r>
          </w:p>
        </w:tc>
        <w:tc>
          <w:tcPr>
            <w:tcW w:type="dxa" w:w="1531"/>
          </w:tcPr>
          <w:p>
            <w:r/>
            <w:r>
              <w:rPr>
                <w:rFonts w:ascii="Calibri" w:hAnsi="Calibri" w:cs="Calibri" w:eastAsia="Calibri"/>
                <w:b w:val="0"/>
                <w:i w:val="0"/>
                <w:sz w:val="18"/>
                <w:szCs w:val="18"/>
              </w:rPr>
              <w:t>Legal Counsel</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20 March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Legal Counsel</w:t>
            </w:r>
          </w:p>
        </w:tc>
        <w:tc>
          <w:tcPr>
            <w:tcW w:type="dxa" w:w="1531"/>
          </w:tcPr>
          <w:p>
            <w:r/>
            <w:r>
              <w:rPr>
                <w:rFonts w:ascii="Calibri" w:hAnsi="Calibri" w:cs="Calibri" w:eastAsia="Calibri"/>
                <w:b w:val="0"/>
                <w:i w:val="0"/>
                <w:sz w:val="18"/>
                <w:szCs w:val="18"/>
              </w:rPr>
              <w:t>Legal Counsel</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agreement binds employees, contractors, and third parties to protect confidential information they access, during and after their engagement.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(GV-STD-001) and covers the activities that document defines.</w:t>
      </w:r>
    </w:p>
    <w:p>
      <w:pPr>
        <w:pStyle w:val="Heading2"/>
        <w:keepNext/>
        <w:spacing w:before="120" w:after="80"/>
      </w:pPr>
      <w:r>
        <w:rPr>
          <w:rFonts w:ascii="Calibri" w:hAnsi="Calibri" w:cs="Calibri" w:eastAsia="Calibri"/>
          <w:b/>
          <w:i w:val="0"/>
          <w:color w:val="1F3864"/>
          <w:sz w:val="24"/>
          <w:szCs w:val="24"/>
          <w:bCs/>
        </w:rPr>
        <w:t>4.3 Key Clauses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Include the minimum clauses of a confidentiality agreement (ISO/IEC 27001:2022 Annex A 6.6).</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Confidential information includes patient records, images, results, and any data in HIS, PACS, and LIS.</w:t>
      </w:r>
    </w:p>
    <w:p>
      <w:pPr>
        <w:pStyle w:val="ListNumber"/>
        <w:spacing w:after="40"/>
      </w:pPr>
      <w:r>
        <w:rPr>
          <w:rFonts w:ascii="Calibri" w:hAnsi="Calibri" w:cs="Calibri" w:eastAsia="Calibri"/>
          <w:b w:val="0"/>
          <w:i w:val="0"/>
          <w:sz w:val="21"/>
          <w:szCs w:val="21"/>
        </w:rPr>
        <w:t>Use information only for patient care or assigned duties.</w:t>
      </w:r>
    </w:p>
    <w:p>
      <w:pPr>
        <w:pStyle w:val="ListNumber"/>
        <w:spacing w:after="40"/>
      </w:pPr>
      <w:r>
        <w:rPr>
          <w:rFonts w:ascii="Calibri" w:hAnsi="Calibri" w:cs="Calibri" w:eastAsia="Calibri"/>
          <w:b w:val="0"/>
          <w:i w:val="0"/>
          <w:sz w:val="21"/>
          <w:szCs w:val="21"/>
        </w:rPr>
        <w:t>Do not disclose without written authorization or a legal duty.</w:t>
      </w:r>
    </w:p>
    <w:p>
      <w:pPr>
        <w:pStyle w:val="ListNumber"/>
        <w:spacing w:after="40"/>
      </w:pPr>
      <w:r>
        <w:rPr>
          <w:rFonts w:ascii="Calibri" w:hAnsi="Calibri" w:cs="Calibri" w:eastAsia="Calibri"/>
          <w:b w:val="0"/>
          <w:i w:val="0"/>
          <w:sz w:val="21"/>
          <w:szCs w:val="21"/>
        </w:rPr>
        <w:t>Report any suspected disclosure to the DPO or Security Manager immediately.</w:t>
      </w:r>
    </w:p>
    <w:p>
      <w:pPr>
        <w:pStyle w:val="ListNumber"/>
        <w:spacing w:after="40"/>
      </w:pPr>
      <w:r>
        <w:rPr>
          <w:rFonts w:ascii="Calibri" w:hAnsi="Calibri" w:cs="Calibri" w:eastAsia="Calibri"/>
          <w:b w:val="0"/>
          <w:i w:val="0"/>
          <w:sz w:val="21"/>
          <w:szCs w:val="21"/>
        </w:rPr>
        <w:t>Return badges, devices, and documents at the end of the engagement.</w:t>
      </w:r>
    </w:p>
    <w:p>
      <w:pPr>
        <w:pStyle w:val="ListNumber"/>
        <w:spacing w:after="40"/>
      </w:pPr>
      <w:r>
        <w:rPr>
          <w:rFonts w:ascii="Calibri" w:hAnsi="Calibri" w:cs="Calibri" w:eastAsia="Calibri"/>
          <w:b w:val="0"/>
          <w:i w:val="0"/>
          <w:sz w:val="21"/>
          <w:szCs w:val="21"/>
        </w:rPr>
        <w:t>Obligations continue for five years after termination, and indefinitely for patient data.</w:t>
      </w:r>
    </w:p>
    <w:p>
      <w:pPr>
        <w:pStyle w:val="ListNumber"/>
        <w:spacing w:after="40"/>
      </w:pPr>
      <w:r>
        <w:rPr>
          <w:rFonts w:ascii="Calibri" w:hAnsi="Calibri" w:cs="Calibri" w:eastAsia="Calibri"/>
          <w:b w:val="0"/>
          <w:i w:val="0"/>
          <w:sz w:val="21"/>
          <w:szCs w:val="21"/>
        </w:rPr>
        <w:t>Governed by the laws of Thailand.</w:t>
      </w:r>
    </w:p>
    <w:p>
      <w:pPr>
        <w:pStyle w:val="Heading2"/>
        <w:keepNext/>
        <w:spacing w:before="120" w:after="80"/>
      </w:pPr>
      <w:r>
        <w:rPr>
          <w:rFonts w:ascii="Calibri" w:hAnsi="Calibri" w:cs="Calibri" w:eastAsia="Calibri"/>
          <w:b/>
          <w:i w:val="0"/>
          <w:color w:val="1F3864"/>
          <w:sz w:val="24"/>
          <w:szCs w:val="24"/>
          <w:bCs/>
        </w:rPr>
        <w:t>4.4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Signatory name</w:t>
            </w:r>
          </w:p>
        </w:tc>
        <w:tc>
          <w:tcPr>
            <w:tcW w:type="dxa" w:w="3628"/>
          </w:tcPr>
          <w:p>
            <w:r/>
            <w:r>
              <w:rPr>
                <w:rFonts w:ascii="Calibri" w:hAnsi="Calibri" w:cs="Calibri" w:eastAsia="Calibri"/>
                <w:b w:val="0"/>
                <w:i w:val="0"/>
                <w:sz w:val="18"/>
                <w:szCs w:val="18"/>
              </w:rPr>
              <w:t>Full name.</w:t>
            </w:r>
          </w:p>
        </w:tc>
        <w:tc>
          <w:tcPr>
            <w:tcW w:type="dxa" w:w="2835"/>
          </w:tcPr>
          <w:p>
            <w:r/>
            <w:r>
              <w:rPr>
                <w:rFonts w:ascii="Calibri" w:hAnsi="Calibri" w:cs="Calibri" w:eastAsia="Calibri"/>
                <w:b w:val="0"/>
                <w:i w:val="0"/>
                <w:sz w:val="18"/>
                <w:szCs w:val="18"/>
              </w:rPr>
              <w:t>Vendor engineer (name withheld in sample)</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Organization or department</w:t>
            </w:r>
          </w:p>
        </w:tc>
        <w:tc>
          <w:tcPr>
            <w:tcW w:type="dxa" w:w="3628"/>
          </w:tcPr>
          <w:p>
            <w:r/>
            <w:r>
              <w:rPr>
                <w:rFonts w:ascii="Calibri" w:hAnsi="Calibri" w:cs="Calibri" w:eastAsia="Calibri"/>
                <w:b w:val="0"/>
                <w:i w:val="0"/>
                <w:sz w:val="18"/>
                <w:szCs w:val="18"/>
              </w:rPr>
              <w:t>Employer or vendor.</w:t>
            </w:r>
          </w:p>
        </w:tc>
        <w:tc>
          <w:tcPr>
            <w:tcW w:type="dxa" w:w="2835"/>
          </w:tcPr>
          <w:p>
            <w:r/>
            <w:r>
              <w:rPr>
                <w:rFonts w:ascii="Calibri" w:hAnsi="Calibri" w:cs="Calibri" w:eastAsia="Calibri"/>
                <w:b w:val="0"/>
                <w:i w:val="0"/>
                <w:sz w:val="18"/>
                <w:szCs w:val="18"/>
              </w:rPr>
              <w:t>PACS Vendor B</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Engagement or role</w:t>
            </w:r>
          </w:p>
        </w:tc>
        <w:tc>
          <w:tcPr>
            <w:tcW w:type="dxa" w:w="3628"/>
          </w:tcPr>
          <w:p>
            <w:r/>
            <w:r>
              <w:rPr>
                <w:rFonts w:ascii="Calibri" w:hAnsi="Calibri" w:cs="Calibri" w:eastAsia="Calibri"/>
                <w:b w:val="0"/>
                <w:i w:val="0"/>
                <w:sz w:val="18"/>
                <w:szCs w:val="18"/>
              </w:rPr>
              <w:t>Purpose of access.</w:t>
            </w:r>
          </w:p>
        </w:tc>
        <w:tc>
          <w:tcPr>
            <w:tcW w:type="dxa" w:w="2835"/>
          </w:tcPr>
          <w:p>
            <w:r/>
            <w:r>
              <w:rPr>
                <w:rFonts w:ascii="Calibri" w:hAnsi="Calibri" w:cs="Calibri" w:eastAsia="Calibri"/>
                <w:b w:val="0"/>
                <w:i w:val="0"/>
                <w:sz w:val="18"/>
                <w:szCs w:val="18"/>
              </w:rPr>
              <w:t>On-site PACS upgrade support</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Start date</w:t>
            </w:r>
          </w:p>
        </w:tc>
        <w:tc>
          <w:tcPr>
            <w:tcW w:type="dxa" w:w="3628"/>
          </w:tcPr>
          <w:p>
            <w:r/>
            <w:r>
              <w:rPr>
                <w:rFonts w:ascii="Calibri" w:hAnsi="Calibri" w:cs="Calibri" w:eastAsia="Calibri"/>
                <w:b w:val="0"/>
                <w:i w:val="0"/>
                <w:sz w:val="18"/>
                <w:szCs w:val="18"/>
              </w:rPr>
              <w:t>Effective date.</w:t>
            </w:r>
          </w:p>
        </w:tc>
        <w:tc>
          <w:tcPr>
            <w:tcW w:type="dxa" w:w="2835"/>
          </w:tcPr>
          <w:p>
            <w:r/>
            <w:r>
              <w:rPr>
                <w:rFonts w:ascii="Calibri" w:hAnsi="Calibri" w:cs="Calibri" w:eastAsia="Calibri"/>
                <w:b w:val="0"/>
                <w:i w:val="0"/>
                <w:sz w:val="18"/>
                <w:szCs w:val="18"/>
              </w:rPr>
              <w:t>3 August 2026</w:t>
            </w:r>
          </w:p>
        </w:tc>
      </w:tr>
    </w:tbl>
    <w:p>
      <w:pPr>
        <w:spacing w:after="40"/>
      </w:pPr>
    </w:p>
    <w:p>
      <w:pPr>
        <w:pStyle w:val="Heading2"/>
        <w:keepNext/>
        <w:spacing w:before="120" w:after="80"/>
      </w:pPr>
      <w:r>
        <w:rPr>
          <w:rFonts w:ascii="Calibri" w:hAnsi="Calibri" w:cs="Calibri" w:eastAsia="Calibri"/>
          <w:b/>
          <w:i w:val="0"/>
          <w:color w:val="1F3864"/>
          <w:sz w:val="24"/>
          <w:szCs w:val="24"/>
          <w:bCs/>
        </w:rPr>
        <w:t>4.5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Legal Counsel</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Collect signatures before access is granted and store them centrally.</w:t>
      </w:r>
    </w:p>
    <w:p>
      <w:pPr>
        <w:pStyle w:val="ListBullet"/>
        <w:spacing w:after="40"/>
      </w:pPr>
      <w:r>
        <w:rPr>
          <w:rFonts w:ascii="Calibri" w:hAnsi="Calibri" w:cs="Calibri" w:eastAsia="Calibri"/>
          <w:b w:val="0"/>
          <w:i w:val="0"/>
          <w:sz w:val="21"/>
          <w:szCs w:val="21"/>
        </w:rPr>
        <w:t>Use a shorter version for visitors and a full version for staff and vendors.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Vendors' engineers work on site without any signed agreement because the company contract is assumed to cover them.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GV.RR-04: Cybersecurity is included in human resources practices</w:t>
            </w:r>
          </w:p>
          <w:p>
            <w:r>
              <w:rPr>
                <w:rFonts w:ascii="Calibri" w:hAnsi="Calibri" w:cs="Calibri" w:eastAsia="Calibri"/>
                <w:b w:val="0"/>
                <w:i w:val="0"/>
                <w:sz w:val="18"/>
                <w:szCs w:val="18"/>
              </w:rPr>
              <w:t>GV.SC-05: Requirements to address supply chain risks are established, prioritized, and integrated into contracts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A.6.6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PS-6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6.6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GV-STD-001: Human Resources Security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GV-FRM-002  |  Confidentiality and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