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Employee Offboarding Security Checklist</w:t>
      </w:r>
    </w:p>
    <w:p>
      <w:pPr>
        <w:spacing w:after="80" w:before="0"/>
      </w:pPr>
      <w:r>
        <w:rPr>
          <w:rFonts w:ascii="Calibri" w:hAnsi="Calibri" w:cs="Calibri" w:eastAsia="Calibri"/>
          <w:b w:val="0"/>
          <w:i w:val="0"/>
          <w:color w:val="595959"/>
          <w:sz w:val="18"/>
          <w:szCs w:val="18"/>
        </w:rPr>
        <w:t>GV-FRM-003  |  Form  |  Roles, Responsibilities, and Authorities (GV.RR)</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GV-FRM-003</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Employee Offboarding Security Checklist</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Human Resources Director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Human Resources Director</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4 June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4 June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Form</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Roles, Responsibilities, and Authorities (GV.RR)</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5.11 and 6.5</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People (A.6); tags: People,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25 August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Human Resources Director</w:t>
            </w:r>
          </w:p>
        </w:tc>
        <w:tc>
          <w:tcPr>
            <w:tcW w:type="dxa" w:w="1531"/>
          </w:tcPr>
          <w:p>
            <w:r/>
            <w:r>
              <w:rPr>
                <w:rFonts w:ascii="Calibri" w:hAnsi="Calibri" w:cs="Calibri" w:eastAsia="Calibri"/>
                <w:b w:val="0"/>
                <w:i w:val="0"/>
                <w:sz w:val="18"/>
                <w:szCs w:val="18"/>
              </w:rPr>
              <w:t>Human Resources Director</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4 June 2026</w:t>
            </w:r>
          </w:p>
        </w:tc>
        <w:tc>
          <w:tcPr>
            <w:tcW w:type="dxa" w:w="3742"/>
          </w:tcPr>
          <w:p>
            <w:r/>
            <w:r>
              <w:rPr>
                <w:rFonts w:ascii="Calibri" w:hAnsi="Calibri" w:cs="Calibri" w:eastAsia="Calibri"/>
                <w:b w:val="0"/>
                <w:i w:val="0"/>
                <w:sz w:val="18"/>
                <w:szCs w:val="18"/>
              </w:rPr>
              <w:t>Updated after the 2026 Management Review (MR-2026-01) to reflect the revised budget and ISSC decisions.</w:t>
            </w:r>
          </w:p>
        </w:tc>
        <w:tc>
          <w:tcPr>
            <w:tcW w:type="dxa" w:w="1587"/>
          </w:tcPr>
          <w:p>
            <w:r/>
            <w:r>
              <w:rPr>
                <w:rFonts w:ascii="Calibri" w:hAnsi="Calibri" w:cs="Calibri" w:eastAsia="Calibri"/>
                <w:b w:val="0"/>
                <w:i w:val="0"/>
                <w:sz w:val="18"/>
                <w:szCs w:val="18"/>
              </w:rPr>
              <w:t>Human Resources Director</w:t>
            </w:r>
          </w:p>
        </w:tc>
        <w:tc>
          <w:tcPr>
            <w:tcW w:type="dxa" w:w="1531"/>
          </w:tcPr>
          <w:p>
            <w:r/>
            <w:r>
              <w:rPr>
                <w:rFonts w:ascii="Calibri" w:hAnsi="Calibri" w:cs="Calibri" w:eastAsia="Calibri"/>
                <w:b w:val="0"/>
                <w:i w:val="0"/>
                <w:sz w:val="18"/>
                <w:szCs w:val="18"/>
              </w:rPr>
              <w:t>Human Resources Director</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checklist ensures that all access, assets, and information are recovered when an employee or contractor leaves or changes role.</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form is used by the units and roles named in its parent document (GV-STD-001) and covers the activities that document defines.</w:t>
      </w:r>
    </w:p>
    <w:p>
      <w:pPr>
        <w:pStyle w:val="Heading2"/>
        <w:keepNext/>
        <w:spacing w:before="120" w:after="80"/>
      </w:pPr>
      <w:r>
        <w:rPr>
          <w:rFonts w:ascii="Calibri" w:hAnsi="Calibri" w:cs="Calibri" w:eastAsia="Calibri"/>
          <w:b/>
          <w:i w:val="0"/>
          <w:color w:val="1F3864"/>
          <w:sz w:val="24"/>
          <w:szCs w:val="24"/>
          <w:bCs/>
        </w:rPr>
        <w:t>4.3 Form Fields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every field the requester or approver must complete, with a clear description, so the form is complete and auditable.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623"/>
        <w:gridCol w:w="2268"/>
        <w:gridCol w:w="3628"/>
        <w:gridCol w:w="2835"/>
      </w:tblGrid>
      <w:tr>
        <w:trPr>
          <w:tblHeader w:val="true"/>
        </w:trPr>
        <w:tc>
          <w:tcPr>
            <w:tcW w:type="dxa" w:w="624"/>
            <w:shd w:val="clear" w:color="auto" w:fill="1F3864"/>
          </w:tcPr>
          <w:p>
            <w:r/>
            <w:r>
              <w:rPr>
                <w:rFonts w:ascii="Calibri" w:hAnsi="Calibri" w:cs="Calibri" w:eastAsia="Calibri"/>
                <w:b/>
                <w:i w:val="0"/>
                <w:color w:val="FFFFFF"/>
                <w:sz w:val="18"/>
                <w:szCs w:val="18"/>
                <w:bCs/>
              </w:rPr>
              <w:t>No.</w:t>
            </w:r>
          </w:p>
        </w:tc>
        <w:tc>
          <w:tcPr>
            <w:tcW w:type="dxa" w:w="2268"/>
            <w:shd w:val="clear" w:color="auto" w:fill="1F3864"/>
          </w:tcPr>
          <w:p>
            <w:r/>
            <w:r>
              <w:rPr>
                <w:rFonts w:ascii="Calibri" w:hAnsi="Calibri" w:cs="Calibri" w:eastAsia="Calibri"/>
                <w:b/>
                <w:i w:val="0"/>
                <w:color w:val="FFFFFF"/>
                <w:sz w:val="18"/>
                <w:szCs w:val="18"/>
                <w:bCs/>
              </w:rPr>
              <w:t>Field</w:t>
            </w:r>
          </w:p>
        </w:tc>
        <w:tc>
          <w:tcPr>
            <w:tcW w:type="dxa" w:w="3628"/>
            <w:shd w:val="clear" w:color="auto" w:fill="1F3864"/>
          </w:tcPr>
          <w:p>
            <w:r/>
            <w:r>
              <w:rPr>
                <w:rFonts w:ascii="Calibri" w:hAnsi="Calibri" w:cs="Calibri" w:eastAsia="Calibri"/>
                <w:b/>
                <w:i w:val="0"/>
                <w:color w:val="FFFFFF"/>
                <w:sz w:val="18"/>
                <w:szCs w:val="18"/>
                <w:bCs/>
              </w:rPr>
              <w:t>Description</w:t>
            </w:r>
          </w:p>
        </w:tc>
        <w:tc>
          <w:tcPr>
            <w:tcW w:type="dxa" w:w="2835"/>
            <w:shd w:val="clear" w:color="auto" w:fill="1F3864"/>
          </w:tcPr>
          <w:p>
            <w:r/>
            <w:r>
              <w:rPr>
                <w:rFonts w:ascii="Calibri" w:hAnsi="Calibri" w:cs="Calibri" w:eastAsia="Calibri"/>
                <w:b/>
                <w:i w:val="0"/>
                <w:color w:val="FFFFFF"/>
                <w:sz w:val="18"/>
                <w:szCs w:val="18"/>
                <w:bCs/>
              </w:rPr>
              <w:t>Entry</w:t>
            </w:r>
          </w:p>
        </w:tc>
      </w:tr>
      <w:tr>
        <w:tc>
          <w:tcPr>
            <w:tcW w:type="dxa" w:w="624"/>
          </w:tcPr>
          <w:p>
            <w:r/>
            <w:r>
              <w:rPr>
                <w:rFonts w:ascii="Calibri" w:hAnsi="Calibri" w:cs="Calibri" w:eastAsia="Calibri"/>
                <w:b w:val="0"/>
                <w:i w:val="0"/>
                <w:sz w:val="18"/>
                <w:szCs w:val="18"/>
              </w:rPr>
              <w:t>1</w:t>
            </w:r>
          </w:p>
        </w:tc>
        <w:tc>
          <w:tcPr>
            <w:tcW w:type="dxa" w:w="2268"/>
          </w:tcPr>
          <w:p>
            <w:r/>
            <w:r>
              <w:rPr>
                <w:rFonts w:ascii="Calibri" w:hAnsi="Calibri" w:cs="Calibri" w:eastAsia="Calibri"/>
                <w:b w:val="0"/>
                <w:i w:val="0"/>
                <w:sz w:val="18"/>
                <w:szCs w:val="18"/>
              </w:rPr>
              <w:t>Employee name and ID</w:t>
            </w:r>
          </w:p>
        </w:tc>
        <w:tc>
          <w:tcPr>
            <w:tcW w:type="dxa" w:w="3628"/>
          </w:tcPr>
          <w:p>
            <w:r/>
            <w:r>
              <w:rPr>
                <w:rFonts w:ascii="Calibri" w:hAnsi="Calibri" w:cs="Calibri" w:eastAsia="Calibri"/>
                <w:b w:val="0"/>
                <w:i w:val="0"/>
                <w:sz w:val="18"/>
                <w:szCs w:val="18"/>
              </w:rPr>
              <w:t>Person leaving or moving.</w:t>
            </w:r>
          </w:p>
        </w:tc>
        <w:tc>
          <w:tcPr>
            <w:tcW w:type="dxa" w:w="2835"/>
          </w:tcPr>
          <w:p>
            <w:r/>
            <w:r>
              <w:rPr>
                <w:rFonts w:ascii="Calibri" w:hAnsi="Calibri" w:cs="Calibri" w:eastAsia="Calibri"/>
                <w:b w:val="0"/>
                <w:i w:val="0"/>
                <w:sz w:val="18"/>
                <w:szCs w:val="18"/>
              </w:rPr>
              <w:t>Staff nurse, Ward 5A (ID withheld in sample)</w:t>
            </w:r>
          </w:p>
        </w:tc>
      </w:tr>
      <w:tr>
        <w:tc>
          <w:tcPr>
            <w:tcW w:type="dxa" w:w="624"/>
          </w:tcPr>
          <w:p>
            <w:r/>
            <w:r>
              <w:rPr>
                <w:rFonts w:ascii="Calibri" w:hAnsi="Calibri" w:cs="Calibri" w:eastAsia="Calibri"/>
                <w:b w:val="0"/>
                <w:i w:val="0"/>
                <w:sz w:val="18"/>
                <w:szCs w:val="18"/>
              </w:rPr>
              <w:t>2</w:t>
            </w:r>
          </w:p>
        </w:tc>
        <w:tc>
          <w:tcPr>
            <w:tcW w:type="dxa" w:w="2268"/>
          </w:tcPr>
          <w:p>
            <w:r/>
            <w:r>
              <w:rPr>
                <w:rFonts w:ascii="Calibri" w:hAnsi="Calibri" w:cs="Calibri" w:eastAsia="Calibri"/>
                <w:b w:val="0"/>
                <w:i w:val="0"/>
                <w:sz w:val="18"/>
                <w:szCs w:val="18"/>
              </w:rPr>
              <w:t>Event type and last working day</w:t>
            </w:r>
          </w:p>
        </w:tc>
        <w:tc>
          <w:tcPr>
            <w:tcW w:type="dxa" w:w="3628"/>
          </w:tcPr>
          <w:p>
            <w:r/>
            <w:r>
              <w:rPr>
                <w:rFonts w:ascii="Calibri" w:hAnsi="Calibri" w:cs="Calibri" w:eastAsia="Calibri"/>
                <w:b w:val="0"/>
                <w:i w:val="0"/>
                <w:sz w:val="18"/>
                <w:szCs w:val="18"/>
              </w:rPr>
              <w:t>Resignation, termination, transfer, contract end.</w:t>
            </w:r>
          </w:p>
        </w:tc>
        <w:tc>
          <w:tcPr>
            <w:tcW w:type="dxa" w:w="2835"/>
          </w:tcPr>
          <w:p>
            <w:r/>
            <w:r>
              <w:rPr>
                <w:rFonts w:ascii="Calibri" w:hAnsi="Calibri" w:cs="Calibri" w:eastAsia="Calibri"/>
                <w:b w:val="0"/>
                <w:i w:val="0"/>
                <w:sz w:val="18"/>
                <w:szCs w:val="18"/>
              </w:rPr>
              <w:t>Resignation; last working day 30 June 2026</w:t>
            </w:r>
          </w:p>
        </w:tc>
      </w:tr>
      <w:tr>
        <w:tc>
          <w:tcPr>
            <w:tcW w:type="dxa" w:w="624"/>
          </w:tcPr>
          <w:p>
            <w:r/>
            <w:r>
              <w:rPr>
                <w:rFonts w:ascii="Calibri" w:hAnsi="Calibri" w:cs="Calibri" w:eastAsia="Calibri"/>
                <w:b w:val="0"/>
                <w:i w:val="0"/>
                <w:sz w:val="18"/>
                <w:szCs w:val="18"/>
              </w:rPr>
              <w:t>3</w:t>
            </w:r>
          </w:p>
        </w:tc>
        <w:tc>
          <w:tcPr>
            <w:tcW w:type="dxa" w:w="2268"/>
          </w:tcPr>
          <w:p>
            <w:r/>
            <w:r>
              <w:rPr>
                <w:rFonts w:ascii="Calibri" w:hAnsi="Calibri" w:cs="Calibri" w:eastAsia="Calibri"/>
                <w:b w:val="0"/>
                <w:i w:val="0"/>
                <w:sz w:val="18"/>
                <w:szCs w:val="18"/>
              </w:rPr>
              <w:t>Directory and email account disabled</w:t>
            </w:r>
          </w:p>
        </w:tc>
        <w:tc>
          <w:tcPr>
            <w:tcW w:type="dxa" w:w="3628"/>
          </w:tcPr>
          <w:p>
            <w:r/>
            <w:r>
              <w:rPr>
                <w:rFonts w:ascii="Calibri" w:hAnsi="Calibri" w:cs="Calibri" w:eastAsia="Calibri"/>
                <w:b w:val="0"/>
                <w:i w:val="0"/>
                <w:sz w:val="18"/>
                <w:szCs w:val="18"/>
              </w:rPr>
              <w:t>Date, time, and by whom.</w:t>
            </w:r>
          </w:p>
        </w:tc>
        <w:tc>
          <w:tcPr>
            <w:tcW w:type="dxa" w:w="2835"/>
          </w:tcPr>
          <w:p>
            <w:r/>
            <w:r>
              <w:rPr>
                <w:rFonts w:ascii="Calibri" w:hAnsi="Calibri" w:cs="Calibri" w:eastAsia="Calibri"/>
                <w:b w:val="0"/>
                <w:i w:val="0"/>
                <w:sz w:val="18"/>
                <w:szCs w:val="18"/>
              </w:rPr>
              <w:t>Disabled 30 June 2026, 17:05, by IT Service Desk</w:t>
            </w:r>
          </w:p>
        </w:tc>
      </w:tr>
      <w:tr>
        <w:tc>
          <w:tcPr>
            <w:tcW w:type="dxa" w:w="624"/>
          </w:tcPr>
          <w:p>
            <w:r/>
            <w:r>
              <w:rPr>
                <w:rFonts w:ascii="Calibri" w:hAnsi="Calibri" w:cs="Calibri" w:eastAsia="Calibri"/>
                <w:b w:val="0"/>
                <w:i w:val="0"/>
                <w:sz w:val="18"/>
                <w:szCs w:val="18"/>
              </w:rPr>
              <w:t>4</w:t>
            </w:r>
          </w:p>
        </w:tc>
        <w:tc>
          <w:tcPr>
            <w:tcW w:type="dxa" w:w="2268"/>
          </w:tcPr>
          <w:p>
            <w:r/>
            <w:r>
              <w:rPr>
                <w:rFonts w:ascii="Calibri" w:hAnsi="Calibri" w:cs="Calibri" w:eastAsia="Calibri"/>
                <w:b w:val="0"/>
                <w:i w:val="0"/>
                <w:sz w:val="18"/>
                <w:szCs w:val="18"/>
              </w:rPr>
              <w:t>Business application access removed</w:t>
            </w:r>
          </w:p>
        </w:tc>
        <w:tc>
          <w:tcPr>
            <w:tcW w:type="dxa" w:w="3628"/>
          </w:tcPr>
          <w:p>
            <w:r/>
            <w:r>
              <w:rPr>
                <w:rFonts w:ascii="Calibri" w:hAnsi="Calibri" w:cs="Calibri" w:eastAsia="Calibri"/>
                <w:b w:val="0"/>
                <w:i w:val="0"/>
                <w:sz w:val="18"/>
                <w:szCs w:val="18"/>
              </w:rPr>
              <w:t>List each system.</w:t>
            </w:r>
          </w:p>
        </w:tc>
        <w:tc>
          <w:tcPr>
            <w:tcW w:type="dxa" w:w="2835"/>
          </w:tcPr>
          <w:p>
            <w:r/>
            <w:r>
              <w:rPr>
                <w:rFonts w:ascii="Calibri" w:hAnsi="Calibri" w:cs="Calibri" w:eastAsia="Calibri"/>
                <w:b w:val="0"/>
                <w:i w:val="0"/>
                <w:sz w:val="18"/>
                <w:szCs w:val="18"/>
              </w:rPr>
              <w:t>HIS, LIS viewer, Microsoft 365, nurse call console removed 30 June 2026</w:t>
            </w:r>
          </w:p>
        </w:tc>
      </w:tr>
      <w:tr>
        <w:tc>
          <w:tcPr>
            <w:tcW w:type="dxa" w:w="624"/>
          </w:tcPr>
          <w:p>
            <w:r/>
            <w:r>
              <w:rPr>
                <w:rFonts w:ascii="Calibri" w:hAnsi="Calibri" w:cs="Calibri" w:eastAsia="Calibri"/>
                <w:b w:val="0"/>
                <w:i w:val="0"/>
                <w:sz w:val="18"/>
                <w:szCs w:val="18"/>
              </w:rPr>
              <w:t>5</w:t>
            </w:r>
          </w:p>
        </w:tc>
        <w:tc>
          <w:tcPr>
            <w:tcW w:type="dxa" w:w="2268"/>
          </w:tcPr>
          <w:p>
            <w:r/>
            <w:r>
              <w:rPr>
                <w:rFonts w:ascii="Calibri" w:hAnsi="Calibri" w:cs="Calibri" w:eastAsia="Calibri"/>
                <w:b w:val="0"/>
                <w:i w:val="0"/>
                <w:sz w:val="18"/>
                <w:szCs w:val="18"/>
              </w:rPr>
              <w:t>Privileged and shared accounts reset</w:t>
            </w:r>
          </w:p>
        </w:tc>
        <w:tc>
          <w:tcPr>
            <w:tcW w:type="dxa" w:w="3628"/>
          </w:tcPr>
          <w:p>
            <w:r/>
            <w:r>
              <w:rPr>
                <w:rFonts w:ascii="Calibri" w:hAnsi="Calibri" w:cs="Calibri" w:eastAsia="Calibri"/>
                <w:b w:val="0"/>
                <w:i w:val="0"/>
                <w:sz w:val="18"/>
                <w:szCs w:val="18"/>
              </w:rPr>
              <w:t>Passwords changed where the person knew them.</w:t>
            </w:r>
          </w:p>
        </w:tc>
        <w:tc>
          <w:tcPr>
            <w:tcW w:type="dxa" w:w="2835"/>
          </w:tcPr>
          <w:p>
            <w:r/>
            <w:r>
              <w:rPr>
                <w:rFonts w:ascii="Calibri" w:hAnsi="Calibri" w:cs="Calibri" w:eastAsia="Calibri"/>
                <w:b w:val="0"/>
                <w:i w:val="0"/>
                <w:sz w:val="18"/>
                <w:szCs w:val="18"/>
              </w:rPr>
              <w:t>Not applicable (no privileged access)</w:t>
            </w:r>
          </w:p>
        </w:tc>
      </w:tr>
      <w:tr>
        <w:tc>
          <w:tcPr>
            <w:tcW w:type="dxa" w:w="624"/>
          </w:tcPr>
          <w:p>
            <w:r/>
            <w:r>
              <w:rPr>
                <w:rFonts w:ascii="Calibri" w:hAnsi="Calibri" w:cs="Calibri" w:eastAsia="Calibri"/>
                <w:b w:val="0"/>
                <w:i w:val="0"/>
                <w:sz w:val="18"/>
                <w:szCs w:val="18"/>
              </w:rPr>
              <w:t>6</w:t>
            </w:r>
          </w:p>
        </w:tc>
        <w:tc>
          <w:tcPr>
            <w:tcW w:type="dxa" w:w="2268"/>
          </w:tcPr>
          <w:p>
            <w:r/>
            <w:r>
              <w:rPr>
                <w:rFonts w:ascii="Calibri" w:hAnsi="Calibri" w:cs="Calibri" w:eastAsia="Calibri"/>
                <w:b w:val="0"/>
                <w:i w:val="0"/>
                <w:sz w:val="18"/>
                <w:szCs w:val="18"/>
              </w:rPr>
              <w:t>Remote access and MFA tokens revoked</w:t>
            </w:r>
          </w:p>
        </w:tc>
        <w:tc>
          <w:tcPr>
            <w:tcW w:type="dxa" w:w="3628"/>
          </w:tcPr>
          <w:p>
            <w:r/>
            <w:r>
              <w:rPr>
                <w:rFonts w:ascii="Calibri" w:hAnsi="Calibri" w:cs="Calibri" w:eastAsia="Calibri"/>
                <w:b w:val="0"/>
                <w:i w:val="0"/>
                <w:sz w:val="18"/>
                <w:szCs w:val="18"/>
              </w:rPr>
              <w:t>VPN, MFA app registrations.</w:t>
            </w:r>
          </w:p>
        </w:tc>
        <w:tc>
          <w:tcPr>
            <w:tcW w:type="dxa" w:w="2835"/>
          </w:tcPr>
          <w:p>
            <w:r/>
            <w:r>
              <w:rPr>
                <w:rFonts w:ascii="Calibri" w:hAnsi="Calibri" w:cs="Calibri" w:eastAsia="Calibri"/>
                <w:b w:val="0"/>
                <w:i w:val="0"/>
                <w:sz w:val="18"/>
                <w:szCs w:val="18"/>
              </w:rPr>
              <w:t>No VPN; Microsoft Authenticator registration removed</w:t>
            </w:r>
          </w:p>
        </w:tc>
      </w:tr>
      <w:tr>
        <w:tc>
          <w:tcPr>
            <w:tcW w:type="dxa" w:w="624"/>
          </w:tcPr>
          <w:p>
            <w:r/>
            <w:r>
              <w:rPr>
                <w:rFonts w:ascii="Calibri" w:hAnsi="Calibri" w:cs="Calibri" w:eastAsia="Calibri"/>
                <w:b w:val="0"/>
                <w:i w:val="0"/>
                <w:sz w:val="18"/>
                <w:szCs w:val="18"/>
              </w:rPr>
              <w:t>7</w:t>
            </w:r>
          </w:p>
        </w:tc>
        <w:tc>
          <w:tcPr>
            <w:tcW w:type="dxa" w:w="2268"/>
          </w:tcPr>
          <w:p>
            <w:r/>
            <w:r>
              <w:rPr>
                <w:rFonts w:ascii="Calibri" w:hAnsi="Calibri" w:cs="Calibri" w:eastAsia="Calibri"/>
                <w:b w:val="0"/>
                <w:i w:val="0"/>
                <w:sz w:val="18"/>
                <w:szCs w:val="18"/>
              </w:rPr>
              <w:t>Assets returned</w:t>
            </w:r>
          </w:p>
        </w:tc>
        <w:tc>
          <w:tcPr>
            <w:tcW w:type="dxa" w:w="3628"/>
          </w:tcPr>
          <w:p>
            <w:r/>
            <w:r>
              <w:rPr>
                <w:rFonts w:ascii="Calibri" w:hAnsi="Calibri" w:cs="Calibri" w:eastAsia="Calibri"/>
                <w:b w:val="0"/>
                <w:i w:val="0"/>
                <w:sz w:val="18"/>
                <w:szCs w:val="18"/>
              </w:rPr>
              <w:t>Laptop, phone, badge, keys, tokens with asset IDs.</w:t>
            </w:r>
          </w:p>
        </w:tc>
        <w:tc>
          <w:tcPr>
            <w:tcW w:type="dxa" w:w="2835"/>
          </w:tcPr>
          <w:p>
            <w:r/>
            <w:r>
              <w:rPr>
                <w:rFonts w:ascii="Calibri" w:hAnsi="Calibri" w:cs="Calibri" w:eastAsia="Calibri"/>
                <w:b w:val="0"/>
                <w:i w:val="0"/>
                <w:sz w:val="18"/>
                <w:szCs w:val="18"/>
              </w:rPr>
              <w:t>Badge B-10422 returned; locker key returned</w:t>
            </w:r>
          </w:p>
        </w:tc>
      </w:tr>
      <w:tr>
        <w:tc>
          <w:tcPr>
            <w:tcW w:type="dxa" w:w="624"/>
          </w:tcPr>
          <w:p>
            <w:r/>
            <w:r>
              <w:rPr>
                <w:rFonts w:ascii="Calibri" w:hAnsi="Calibri" w:cs="Calibri" w:eastAsia="Calibri"/>
                <w:b w:val="0"/>
                <w:i w:val="0"/>
                <w:sz w:val="18"/>
                <w:szCs w:val="18"/>
              </w:rPr>
              <w:t>8</w:t>
            </w:r>
          </w:p>
        </w:tc>
        <w:tc>
          <w:tcPr>
            <w:tcW w:type="dxa" w:w="2268"/>
          </w:tcPr>
          <w:p>
            <w:r/>
            <w:r>
              <w:rPr>
                <w:rFonts w:ascii="Calibri" w:hAnsi="Calibri" w:cs="Calibri" w:eastAsia="Calibri"/>
                <w:b w:val="0"/>
                <w:i w:val="0"/>
                <w:sz w:val="18"/>
                <w:szCs w:val="18"/>
              </w:rPr>
              <w:t>Data handover</w:t>
            </w:r>
          </w:p>
        </w:tc>
        <w:tc>
          <w:tcPr>
            <w:tcW w:type="dxa" w:w="3628"/>
          </w:tcPr>
          <w:p>
            <w:r/>
            <w:r>
              <w:rPr>
                <w:rFonts w:ascii="Calibri" w:hAnsi="Calibri" w:cs="Calibri" w:eastAsia="Calibri"/>
                <w:b w:val="0"/>
                <w:i w:val="0"/>
                <w:sz w:val="18"/>
                <w:szCs w:val="18"/>
              </w:rPr>
              <w:t>Files and mailbox transferred to manager.</w:t>
            </w:r>
          </w:p>
        </w:tc>
        <w:tc>
          <w:tcPr>
            <w:tcW w:type="dxa" w:w="2835"/>
          </w:tcPr>
          <w:p>
            <w:r/>
            <w:r>
              <w:rPr>
                <w:rFonts w:ascii="Calibri" w:hAnsi="Calibri" w:cs="Calibri" w:eastAsia="Calibri"/>
                <w:b w:val="0"/>
                <w:i w:val="0"/>
                <w:sz w:val="18"/>
                <w:szCs w:val="18"/>
              </w:rPr>
              <w:t>Shift handover files moved to Ward 5A shared folder</w:t>
            </w:r>
          </w:p>
        </w:tc>
      </w:tr>
      <w:tr>
        <w:tc>
          <w:tcPr>
            <w:tcW w:type="dxa" w:w="624"/>
          </w:tcPr>
          <w:p>
            <w:r/>
            <w:r>
              <w:rPr>
                <w:rFonts w:ascii="Calibri" w:hAnsi="Calibri" w:cs="Calibri" w:eastAsia="Calibri"/>
                <w:b w:val="0"/>
                <w:i w:val="0"/>
                <w:sz w:val="18"/>
                <w:szCs w:val="18"/>
              </w:rPr>
              <w:t>9</w:t>
            </w:r>
          </w:p>
        </w:tc>
        <w:tc>
          <w:tcPr>
            <w:tcW w:type="dxa" w:w="2268"/>
          </w:tcPr>
          <w:p>
            <w:r/>
            <w:r>
              <w:rPr>
                <w:rFonts w:ascii="Calibri" w:hAnsi="Calibri" w:cs="Calibri" w:eastAsia="Calibri"/>
                <w:b w:val="0"/>
                <w:i w:val="0"/>
                <w:sz w:val="18"/>
                <w:szCs w:val="18"/>
              </w:rPr>
              <w:t>Exit reminder of confidentiality</w:t>
            </w:r>
          </w:p>
        </w:tc>
        <w:tc>
          <w:tcPr>
            <w:tcW w:type="dxa" w:w="3628"/>
          </w:tcPr>
          <w:p>
            <w:r/>
            <w:r>
              <w:rPr>
                <w:rFonts w:ascii="Calibri" w:hAnsi="Calibri" w:cs="Calibri" w:eastAsia="Calibri"/>
                <w:b w:val="0"/>
                <w:i w:val="0"/>
                <w:sz w:val="18"/>
                <w:szCs w:val="18"/>
              </w:rPr>
              <w:t>Signed acknowledgment.</w:t>
            </w:r>
          </w:p>
        </w:tc>
        <w:tc>
          <w:tcPr>
            <w:tcW w:type="dxa" w:w="2835"/>
          </w:tcPr>
          <w:p>
            <w:r/>
            <w:r>
              <w:rPr>
                <w:rFonts w:ascii="Calibri" w:hAnsi="Calibri" w:cs="Calibri" w:eastAsia="Calibri"/>
                <w:b w:val="0"/>
                <w:i w:val="0"/>
                <w:sz w:val="18"/>
                <w:szCs w:val="18"/>
              </w:rPr>
              <w:t>Signed 30 June 2026</w:t>
            </w:r>
          </w:p>
        </w:tc>
      </w:tr>
    </w:tbl>
    <w:p>
      <w:pPr>
        <w:spacing w:after="40"/>
      </w:pPr>
    </w:p>
    <w:p>
      <w:pPr>
        <w:pStyle w:val="Heading2"/>
        <w:keepNext/>
        <w:spacing w:before="120" w:after="80"/>
      </w:pPr>
      <w:r>
        <w:rPr>
          <w:rFonts w:ascii="Calibri" w:hAnsi="Calibri" w:cs="Calibri" w:eastAsia="Calibri"/>
          <w:b/>
          <w:i w:val="0"/>
          <w:color w:val="1F3864"/>
          <w:sz w:val="24"/>
          <w:szCs w:val="24"/>
          <w:bCs/>
        </w:rPr>
        <w:t>4.4 Approval and Sign-off</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Record who reviewed and approved the form, with name, date, and signature or electronic approval.</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2835"/>
        <w:gridCol w:w="2551"/>
        <w:gridCol w:w="2268"/>
        <w:gridCol w:w="1701"/>
      </w:tblGrid>
      <w:tr>
        <w:trPr>
          <w:tblHeader w:val="true"/>
        </w:trPr>
        <w:tc>
          <w:tcPr>
            <w:tcW w:type="dxa" w:w="2835"/>
            <w:shd w:val="clear" w:color="auto" w:fill="1F3864"/>
          </w:tcPr>
          <w:p>
            <w:r/>
            <w:r>
              <w:rPr>
                <w:rFonts w:ascii="Calibri" w:hAnsi="Calibri" w:cs="Calibri" w:eastAsia="Calibri"/>
                <w:b/>
                <w:i w:val="0"/>
                <w:color w:val="FFFFFF"/>
                <w:sz w:val="18"/>
                <w:szCs w:val="18"/>
                <w:bCs/>
              </w:rPr>
              <w:t>Role</w:t>
            </w:r>
          </w:p>
        </w:tc>
        <w:tc>
          <w:tcPr>
            <w:tcW w:type="dxa" w:w="2551"/>
            <w:shd w:val="clear" w:color="auto" w:fill="1F3864"/>
          </w:tcPr>
          <w:p>
            <w:r/>
            <w:r>
              <w:rPr>
                <w:rFonts w:ascii="Calibri" w:hAnsi="Calibri" w:cs="Calibri" w:eastAsia="Calibri"/>
                <w:b/>
                <w:i w:val="0"/>
                <w:color w:val="FFFFFF"/>
                <w:sz w:val="18"/>
                <w:szCs w:val="18"/>
                <w:bCs/>
              </w:rPr>
              <w:t>Name</w:t>
            </w:r>
          </w:p>
        </w:tc>
        <w:tc>
          <w:tcPr>
            <w:tcW w:type="dxa" w:w="2268"/>
            <w:shd w:val="clear" w:color="auto" w:fill="1F3864"/>
          </w:tcPr>
          <w:p>
            <w:r/>
            <w:r>
              <w:rPr>
                <w:rFonts w:ascii="Calibri" w:hAnsi="Calibri" w:cs="Calibri" w:eastAsia="Calibri"/>
                <w:b/>
                <w:i w:val="0"/>
                <w:color w:val="FFFFFF"/>
                <w:sz w:val="18"/>
                <w:szCs w:val="18"/>
                <w:bCs/>
              </w:rPr>
              <w:t>Signature</w:t>
            </w:r>
          </w:p>
        </w:tc>
        <w:tc>
          <w:tcPr>
            <w:tcW w:type="dxa" w:w="1701"/>
            <w:shd w:val="clear" w:color="auto" w:fill="1F3864"/>
          </w:tcPr>
          <w:p>
            <w:r/>
            <w:r>
              <w:rPr>
                <w:rFonts w:ascii="Calibri" w:hAnsi="Calibri" w:cs="Calibri" w:eastAsia="Calibri"/>
                <w:b/>
                <w:i w:val="0"/>
                <w:color w:val="FFFFFF"/>
                <w:sz w:val="18"/>
                <w:szCs w:val="18"/>
                <w:bCs/>
              </w:rPr>
              <w:t>Date</w:t>
            </w:r>
          </w:p>
        </w:tc>
      </w:tr>
      <w:tr>
        <w:tc>
          <w:tcPr>
            <w:tcW w:type="dxa" w:w="2835"/>
          </w:tcPr>
          <w:p>
            <w:r/>
            <w:r>
              <w:rPr>
                <w:rFonts w:ascii="Calibri" w:hAnsi="Calibri" w:cs="Calibri" w:eastAsia="Calibri"/>
                <w:b w:val="0"/>
                <w:i w:val="0"/>
                <w:sz w:val="18"/>
                <w:szCs w:val="18"/>
              </w:rPr>
              <w:t>Line Manager</w:t>
            </w:r>
          </w:p>
        </w:tc>
        <w:tc>
          <w:tcPr>
            <w:tcW w:type="dxa" w:w="2551"/>
          </w:tcPr>
          <w:p>
            <w:r/>
          </w:p>
        </w:tc>
        <w:tc>
          <w:tcPr>
            <w:tcW w:type="dxa" w:w="2268"/>
          </w:tcPr>
          <w:p>
            <w:r/>
          </w:p>
        </w:tc>
        <w:tc>
          <w:tcPr>
            <w:tcW w:type="dxa" w:w="1701"/>
          </w:tcPr>
          <w:p>
            <w:r/>
          </w:p>
        </w:tc>
      </w:tr>
      <w:tr>
        <w:tc>
          <w:tcPr>
            <w:tcW w:type="dxa" w:w="2835"/>
          </w:tcPr>
          <w:p>
            <w:r/>
            <w:r>
              <w:rPr>
                <w:rFonts w:ascii="Calibri" w:hAnsi="Calibri" w:cs="Calibri" w:eastAsia="Calibri"/>
                <w:b w:val="0"/>
                <w:i w:val="0"/>
                <w:sz w:val="18"/>
                <w:szCs w:val="18"/>
              </w:rPr>
              <w:t>IT Infrastructure Manager</w:t>
            </w:r>
          </w:p>
        </w:tc>
        <w:tc>
          <w:tcPr>
            <w:tcW w:type="dxa" w:w="2551"/>
          </w:tcPr>
          <w:p>
            <w:r/>
          </w:p>
        </w:tc>
        <w:tc>
          <w:tcPr>
            <w:tcW w:type="dxa" w:w="2268"/>
          </w:tcPr>
          <w:p>
            <w:r/>
          </w:p>
        </w:tc>
        <w:tc>
          <w:tcPr>
            <w:tcW w:type="dxa" w:w="1701"/>
          </w:tcPr>
          <w:p>
            <w:r/>
          </w:p>
        </w:tc>
      </w:tr>
      <w:tr>
        <w:tc>
          <w:tcPr>
            <w:tcW w:type="dxa" w:w="2835"/>
          </w:tcPr>
          <w:p>
            <w:r/>
            <w:r>
              <w:rPr>
                <w:rFonts w:ascii="Calibri" w:hAnsi="Calibri" w:cs="Calibri" w:eastAsia="Calibri"/>
                <w:b w:val="0"/>
                <w:i w:val="0"/>
                <w:sz w:val="18"/>
                <w:szCs w:val="18"/>
              </w:rPr>
              <w:t>Human Resources Director</w:t>
            </w:r>
          </w:p>
        </w:tc>
        <w:tc>
          <w:tcPr>
            <w:tcW w:type="dxa" w:w="2551"/>
          </w:tcPr>
          <w:p>
            <w:r/>
          </w:p>
        </w:tc>
        <w:tc>
          <w:tcPr>
            <w:tcW w:type="dxa" w:w="2268"/>
          </w:tcPr>
          <w:p>
            <w:r/>
          </w:p>
        </w:tc>
        <w:tc>
          <w:tcPr>
            <w:tcW w:type="dxa" w:w="1701"/>
          </w:tcPr>
          <w:p>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Trigger the checklist automatically from the HR system and close it within one working day.</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Forgetting local application accounts that are not linked to the directory, such as medical device consoles.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GV.RR-04: Cybersecurity is included in human resources practices</w:t>
            </w:r>
          </w:p>
          <w:p>
            <w:r>
              <w:rPr>
                <w:rFonts w:ascii="Calibri" w:hAnsi="Calibri" w:cs="Calibri" w:eastAsia="Calibri"/>
                <w:b w:val="0"/>
                <w:i w:val="0"/>
                <w:sz w:val="18"/>
                <w:szCs w:val="18"/>
              </w:rPr>
              <w:t>PR.AA-05: Access permissions, entitlements, and authorizations are defined, managed, enforced, and reviewed</w:t>
            </w:r>
          </w:p>
          <w:p>
            <w:r>
              <w:rPr>
                <w:rFonts w:ascii="Calibri" w:hAnsi="Calibri" w:cs="Calibri" w:eastAsia="Calibri"/>
                <w:b w:val="0"/>
                <w:i w:val="0"/>
                <w:sz w:val="18"/>
                <w:szCs w:val="18"/>
              </w:rPr>
              <w:t>ID.AM-08: Systems, hardware, software, services, and data are managed throughout their life cycles</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A.5.11, Annex A.6.5</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PS-4, PS-5</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5.11 and 6.5</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GV-STD-001: Human Resources Security Standard</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GV-FRM-003  |  Employee Offboarding Security Checklist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