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Cybersecurity Budget and Resource Plan</w:t>
      </w:r>
    </w:p>
    <w:p>
      <w:pPr>
        <w:spacing w:after="80" w:before="0"/>
      </w:pPr>
      <w:r>
        <w:rPr>
          <w:rFonts w:ascii="Calibri" w:hAnsi="Calibri" w:cs="Calibri" w:eastAsia="Calibri"/>
          <w:b w:val="0"/>
          <w:i w:val="0"/>
          <w:color w:val="595959"/>
          <w:sz w:val="18"/>
          <w:szCs w:val="18"/>
        </w:rPr>
        <w:t>GV-PLN-001  |  Plan  |  Roles, Responsibilities, and Authorities (GV.RR)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GV-PLN-001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Cybersecurity Budget and Resource Plan</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Financial Officer (CFO)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25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25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Plan</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Roles, Responsibilities, and Authorities (GV.RR)</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7.1 (resources; not mandated as documented information)</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4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Financial Officer (CFO)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25 April 2026</w:t>
            </w:r>
          </w:p>
        </w:tc>
        <w:tc>
          <w:tcPr>
            <w:tcW w:type="dxa" w:w="3742"/>
          </w:tcPr>
          <w:p>
            <w:r/>
            <w:r>
              <w:rPr>
                <w:rFonts w:ascii="Calibri" w:hAnsi="Calibri" w:cs="Calibri" w:eastAsia="Calibri"/>
                <w:b w:val="0"/>
                <w:i w:val="0"/>
                <w:sz w:val="18"/>
                <w:szCs w:val="18"/>
              </w:rPr>
              <w:t>Updated in April 2026 after the 15% budget reduction; data loss prevention deferred to 2027 and MSSP scope kept unchanged.</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Financial Officer (CFO)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sets the annual cybersecurity budget and resources (people, services, and technology) needed to deliver the strategy, with justification linked to risk.</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Budget by Category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Show capital and operating budget by category and initiative.</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rPr>
          <w:tblHeader w:val="true"/>
        </w:trPr>
        <w:tc>
          <w:tcPr>
            <w:tcW w:type="dxa" w:w="1871"/>
            <w:shd w:val="clear" w:color="auto" w:fill="1F3864"/>
          </w:tcPr>
          <w:p>
            <w:r/>
            <w:r>
              <w:rPr>
                <w:rFonts w:ascii="Calibri" w:hAnsi="Calibri" w:cs="Calibri" w:eastAsia="Calibri"/>
                <w:b/>
                <w:i w:val="0"/>
                <w:color w:val="FFFFFF"/>
                <w:sz w:val="18"/>
                <w:szCs w:val="18"/>
                <w:bCs/>
              </w:rPr>
              <w:t>Category</w:t>
            </w:r>
          </w:p>
        </w:tc>
        <w:tc>
          <w:tcPr>
            <w:tcW w:type="dxa" w:w="1871"/>
            <w:shd w:val="clear" w:color="auto" w:fill="1F3864"/>
          </w:tcPr>
          <w:p>
            <w:r/>
            <w:r>
              <w:rPr>
                <w:rFonts w:ascii="Calibri" w:hAnsi="Calibri" w:cs="Calibri" w:eastAsia="Calibri"/>
                <w:b/>
                <w:i w:val="0"/>
                <w:color w:val="FFFFFF"/>
                <w:sz w:val="18"/>
                <w:szCs w:val="18"/>
                <w:bCs/>
              </w:rPr>
              <w:t>Initiative</w:t>
            </w:r>
          </w:p>
        </w:tc>
        <w:tc>
          <w:tcPr>
            <w:tcW w:type="dxa" w:w="1871"/>
            <w:shd w:val="clear" w:color="auto" w:fill="1F3864"/>
          </w:tcPr>
          <w:p>
            <w:r/>
            <w:r>
              <w:rPr>
                <w:rFonts w:ascii="Calibri" w:hAnsi="Calibri" w:cs="Calibri" w:eastAsia="Calibri"/>
                <w:b/>
                <w:i w:val="0"/>
                <w:color w:val="FFFFFF"/>
                <w:sz w:val="18"/>
                <w:szCs w:val="18"/>
                <w:bCs/>
              </w:rPr>
              <w:t>Capital (THB)</w:t>
            </w:r>
          </w:p>
        </w:tc>
        <w:tc>
          <w:tcPr>
            <w:tcW w:type="dxa" w:w="1871"/>
            <w:shd w:val="clear" w:color="auto" w:fill="1F3864"/>
          </w:tcPr>
          <w:p>
            <w:r/>
            <w:r>
              <w:rPr>
                <w:rFonts w:ascii="Calibri" w:hAnsi="Calibri" w:cs="Calibri" w:eastAsia="Calibri"/>
                <w:b/>
                <w:i w:val="0"/>
                <w:color w:val="FFFFFF"/>
                <w:sz w:val="18"/>
                <w:szCs w:val="18"/>
                <w:bCs/>
              </w:rPr>
              <w:t>Operating (THB)</w:t>
            </w:r>
          </w:p>
        </w:tc>
        <w:tc>
          <w:tcPr>
            <w:tcW w:type="dxa" w:w="1871"/>
            <w:shd w:val="clear" w:color="auto" w:fill="1F3864"/>
          </w:tcPr>
          <w:p>
            <w:r/>
            <w:r>
              <w:rPr>
                <w:rFonts w:ascii="Calibri" w:hAnsi="Calibri" w:cs="Calibri" w:eastAsia="Calibri"/>
                <w:b/>
                <w:i w:val="0"/>
                <w:color w:val="FFFFFF"/>
                <w:sz w:val="18"/>
                <w:szCs w:val="18"/>
                <w:bCs/>
              </w:rPr>
              <w:t>Risk addressed</w:t>
            </w:r>
          </w:p>
        </w:tc>
      </w:tr>
      <w:tr>
        <w:tc>
          <w:tcPr>
            <w:tcW w:type="dxa" w:w="1871"/>
          </w:tcPr>
          <w:p>
            <w:r/>
            <w:r>
              <w:rPr>
                <w:rFonts w:ascii="Calibri" w:hAnsi="Calibri" w:cs="Calibri" w:eastAsia="Calibri"/>
                <w:b w:val="0"/>
                <w:i w:val="0"/>
                <w:sz w:val="18"/>
                <w:szCs w:val="18"/>
              </w:rPr>
              <w:t>People</w:t>
            </w:r>
          </w:p>
        </w:tc>
        <w:tc>
          <w:tcPr>
            <w:tcW w:type="dxa" w:w="1871"/>
          </w:tcPr>
          <w:p>
            <w:r/>
            <w:r>
              <w:rPr>
                <w:rFonts w:ascii="Calibri" w:hAnsi="Calibri" w:cs="Calibri" w:eastAsia="Calibri"/>
                <w:b w:val="0"/>
                <w:i w:val="0"/>
                <w:sz w:val="18"/>
                <w:szCs w:val="18"/>
              </w:rPr>
              <w:t>Two security engineers; training and certification</w:t>
            </w:r>
          </w:p>
        </w:tc>
        <w:tc>
          <w:tcPr>
            <w:tcW w:type="dxa" w:w="1871"/>
          </w:tcPr>
          <w:p>
            <w:r/>
            <w:r>
              <w:rPr>
                <w:rFonts w:ascii="Calibri" w:hAnsi="Calibri" w:cs="Calibri" w:eastAsia="Calibri"/>
                <w:b w:val="0"/>
                <w:i w:val="0"/>
                <w:sz w:val="18"/>
                <w:szCs w:val="18"/>
              </w:rPr>
              <w:t>0</w:t>
            </w:r>
          </w:p>
        </w:tc>
        <w:tc>
          <w:tcPr>
            <w:tcW w:type="dxa" w:w="1871"/>
          </w:tcPr>
          <w:p>
            <w:r/>
            <w:r>
              <w:rPr>
                <w:rFonts w:ascii="Calibri" w:hAnsi="Calibri" w:cs="Calibri" w:eastAsia="Calibri"/>
                <w:b w:val="0"/>
                <w:i w:val="0"/>
                <w:sz w:val="18"/>
                <w:szCs w:val="18"/>
              </w:rPr>
              <w:t>3,600,000</w:t>
            </w:r>
          </w:p>
        </w:tc>
        <w:tc>
          <w:tcPr>
            <w:tcW w:type="dxa" w:w="1871"/>
          </w:tcPr>
          <w:p>
            <w:r/>
            <w:r>
              <w:rPr>
                <w:rFonts w:ascii="Calibri" w:hAnsi="Calibri" w:cs="Calibri" w:eastAsia="Calibri"/>
                <w:b w:val="0"/>
                <w:i w:val="0"/>
                <w:sz w:val="18"/>
                <w:szCs w:val="18"/>
              </w:rPr>
              <w:t>R-001, R-004</w:t>
            </w:r>
          </w:p>
        </w:tc>
      </w:tr>
      <w:tr>
        <w:tc>
          <w:tcPr>
            <w:tcW w:type="dxa" w:w="1871"/>
          </w:tcPr>
          <w:p>
            <w:r/>
            <w:r>
              <w:rPr>
                <w:rFonts w:ascii="Calibri" w:hAnsi="Calibri" w:cs="Calibri" w:eastAsia="Calibri"/>
                <w:b w:val="0"/>
                <w:i w:val="0"/>
                <w:sz w:val="18"/>
                <w:szCs w:val="18"/>
              </w:rPr>
              <w:t>Services</w:t>
            </w:r>
          </w:p>
        </w:tc>
        <w:tc>
          <w:tcPr>
            <w:tcW w:type="dxa" w:w="1871"/>
          </w:tcPr>
          <w:p>
            <w:r/>
            <w:r>
              <w:rPr>
                <w:rFonts w:ascii="Calibri" w:hAnsi="Calibri" w:cs="Calibri" w:eastAsia="Calibri"/>
                <w:b w:val="0"/>
                <w:i w:val="0"/>
                <w:sz w:val="18"/>
                <w:szCs w:val="18"/>
              </w:rPr>
              <w:t>MSSP 24x7 monitoring; incident response retainer; annual CII risk assessment and audit</w:t>
            </w:r>
          </w:p>
        </w:tc>
        <w:tc>
          <w:tcPr>
            <w:tcW w:type="dxa" w:w="1871"/>
          </w:tcPr>
          <w:p>
            <w:r/>
            <w:r>
              <w:rPr>
                <w:rFonts w:ascii="Calibri" w:hAnsi="Calibri" w:cs="Calibri" w:eastAsia="Calibri"/>
                <w:b w:val="0"/>
                <w:i w:val="0"/>
                <w:sz w:val="18"/>
                <w:szCs w:val="18"/>
              </w:rPr>
              <w:t>0</w:t>
            </w:r>
          </w:p>
        </w:tc>
        <w:tc>
          <w:tcPr>
            <w:tcW w:type="dxa" w:w="1871"/>
          </w:tcPr>
          <w:p>
            <w:r/>
            <w:r>
              <w:rPr>
                <w:rFonts w:ascii="Calibri" w:hAnsi="Calibri" w:cs="Calibri" w:eastAsia="Calibri"/>
                <w:b w:val="0"/>
                <w:i w:val="0"/>
                <w:sz w:val="18"/>
                <w:szCs w:val="18"/>
              </w:rPr>
              <w:t>4,800,000</w:t>
            </w:r>
          </w:p>
        </w:tc>
        <w:tc>
          <w:tcPr>
            <w:tcW w:type="dxa" w:w="1871"/>
          </w:tcPr>
          <w:p>
            <w:r/>
            <w:r>
              <w:rPr>
                <w:rFonts w:ascii="Calibri" w:hAnsi="Calibri" w:cs="Calibri" w:eastAsia="Calibri"/>
                <w:b w:val="0"/>
                <w:i w:val="0"/>
                <w:sz w:val="18"/>
                <w:szCs w:val="18"/>
              </w:rPr>
              <w:t>R-001, R-005</w:t>
            </w:r>
          </w:p>
        </w:tc>
      </w:tr>
      <w:tr>
        <w:tc>
          <w:tcPr>
            <w:tcW w:type="dxa" w:w="1871"/>
          </w:tcPr>
          <w:p>
            <w:r/>
            <w:r>
              <w:rPr>
                <w:rFonts w:ascii="Calibri" w:hAnsi="Calibri" w:cs="Calibri" w:eastAsia="Calibri"/>
                <w:b w:val="0"/>
                <w:i w:val="0"/>
                <w:sz w:val="18"/>
                <w:szCs w:val="18"/>
              </w:rPr>
              <w:t>Technology</w:t>
            </w:r>
          </w:p>
        </w:tc>
        <w:tc>
          <w:tcPr>
            <w:tcW w:type="dxa" w:w="1871"/>
          </w:tcPr>
          <w:p>
            <w:r/>
            <w:r>
              <w:rPr>
                <w:rFonts w:ascii="Calibri" w:hAnsi="Calibri" w:cs="Calibri" w:eastAsia="Calibri"/>
                <w:b w:val="0"/>
                <w:i w:val="0"/>
                <w:sz w:val="18"/>
                <w:szCs w:val="18"/>
              </w:rPr>
              <w:t>Privileged access management; immutable backup expansion; MFA licenses</w:t>
            </w:r>
          </w:p>
        </w:tc>
        <w:tc>
          <w:tcPr>
            <w:tcW w:type="dxa" w:w="1871"/>
          </w:tcPr>
          <w:p>
            <w:r/>
            <w:r>
              <w:rPr>
                <w:rFonts w:ascii="Calibri" w:hAnsi="Calibri" w:cs="Calibri" w:eastAsia="Calibri"/>
                <w:b w:val="0"/>
                <w:i w:val="0"/>
                <w:sz w:val="18"/>
                <w:szCs w:val="18"/>
              </w:rPr>
              <w:t>5,200,000</w:t>
            </w:r>
          </w:p>
        </w:tc>
        <w:tc>
          <w:tcPr>
            <w:tcW w:type="dxa" w:w="1871"/>
          </w:tcPr>
          <w:p>
            <w:r/>
            <w:r>
              <w:rPr>
                <w:rFonts w:ascii="Calibri" w:hAnsi="Calibri" w:cs="Calibri" w:eastAsia="Calibri"/>
                <w:b w:val="0"/>
                <w:i w:val="0"/>
                <w:sz w:val="18"/>
                <w:szCs w:val="18"/>
              </w:rPr>
              <w:t>1,400,000</w:t>
            </w:r>
          </w:p>
        </w:tc>
        <w:tc>
          <w:tcPr>
            <w:tcW w:type="dxa" w:w="1871"/>
          </w:tcPr>
          <w:p>
            <w:r/>
            <w:r>
              <w:rPr>
                <w:rFonts w:ascii="Calibri" w:hAnsi="Calibri" w:cs="Calibri" w:eastAsia="Calibri"/>
                <w:b w:val="0"/>
                <w:i w:val="0"/>
                <w:sz w:val="18"/>
                <w:szCs w:val="18"/>
              </w:rPr>
              <w:t>R-001, R-002, R-003</w:t>
            </w:r>
          </w:p>
        </w:tc>
      </w:tr>
      <w:tr>
        <w:tc>
          <w:tcPr>
            <w:tcW w:type="dxa" w:w="1871"/>
          </w:tcPr>
          <w:p>
            <w:r/>
            <w:r>
              <w:rPr>
                <w:rFonts w:ascii="Calibri" w:hAnsi="Calibri" w:cs="Calibri" w:eastAsia="Calibri"/>
                <w:b w:val="0"/>
                <w:i w:val="0"/>
                <w:sz w:val="18"/>
                <w:szCs w:val="18"/>
              </w:rPr>
              <w:t>Total 2026 (after 15% reduction)</w:t>
            </w:r>
          </w:p>
        </w:tc>
        <w:tc>
          <w:tcPr>
            <w:tcW w:type="dxa" w:w="1871"/>
          </w:tcPr>
          <w:p>
            <w:r/>
          </w:p>
        </w:tc>
        <w:tc>
          <w:tcPr>
            <w:tcW w:type="dxa" w:w="1871"/>
          </w:tcPr>
          <w:p>
            <w:r/>
            <w:r>
              <w:rPr>
                <w:rFonts w:ascii="Calibri" w:hAnsi="Calibri" w:cs="Calibri" w:eastAsia="Calibri"/>
                <w:b w:val="0"/>
                <w:i w:val="0"/>
                <w:sz w:val="18"/>
                <w:szCs w:val="18"/>
              </w:rPr>
              <w:t>5,200,000</w:t>
            </w:r>
          </w:p>
        </w:tc>
        <w:tc>
          <w:tcPr>
            <w:tcW w:type="dxa" w:w="1871"/>
          </w:tcPr>
          <w:p>
            <w:r/>
            <w:r>
              <w:rPr>
                <w:rFonts w:ascii="Calibri" w:hAnsi="Calibri" w:cs="Calibri" w:eastAsia="Calibri"/>
                <w:b w:val="0"/>
                <w:i w:val="0"/>
                <w:sz w:val="18"/>
                <w:szCs w:val="18"/>
              </w:rPr>
              <w:t>9,800,000</w:t>
            </w:r>
          </w:p>
        </w:tc>
        <w:tc>
          <w:tcPr>
            <w:tcW w:type="dxa" w:w="1871"/>
          </w:tcPr>
          <w:p>
            <w:r/>
          </w:p>
        </w:tc>
      </w:tr>
    </w:tbl>
    <w:p>
      <w:pPr>
        <w:spacing w:after="40"/>
      </w:pPr>
    </w:p>
    <w:p>
      <w:pPr>
        <w:pStyle w:val="Heading2"/>
        <w:keepNext/>
        <w:spacing w:before="120" w:after="80"/>
      </w:pPr>
      <w:r>
        <w:rPr>
          <w:rFonts w:ascii="Calibri" w:hAnsi="Calibri" w:cs="Calibri" w:eastAsia="Calibri"/>
          <w:b/>
          <w:i w:val="0"/>
          <w:color w:val="1F3864"/>
          <w:sz w:val="24"/>
          <w:szCs w:val="24"/>
          <w:bCs/>
        </w:rPr>
        <w:t>4.4 Resource Plan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Show staffing and service providers needed, with in-house versus outsourced decisions.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268"/>
        <w:gridCol w:w="2268"/>
        <w:gridCol w:w="1984"/>
        <w:gridCol w:w="2835"/>
      </w:tblGrid>
      <w:tr>
        <w:trPr>
          <w:tblHeader w:val="true"/>
        </w:trPr>
        <w:tc>
          <w:tcPr>
            <w:tcW w:type="dxa" w:w="2268"/>
            <w:shd w:val="clear" w:color="auto" w:fill="1F3864"/>
          </w:tcPr>
          <w:p>
            <w:r/>
            <w:r>
              <w:rPr>
                <w:rFonts w:ascii="Calibri" w:hAnsi="Calibri" w:cs="Calibri" w:eastAsia="Calibri"/>
                <w:b/>
                <w:i w:val="0"/>
                <w:color w:val="FFFFFF"/>
                <w:sz w:val="18"/>
                <w:szCs w:val="18"/>
                <w:bCs/>
              </w:rPr>
              <w:t>Function</w:t>
            </w:r>
          </w:p>
        </w:tc>
        <w:tc>
          <w:tcPr>
            <w:tcW w:type="dxa" w:w="2268"/>
            <w:shd w:val="clear" w:color="auto" w:fill="1F3864"/>
          </w:tcPr>
          <w:p>
            <w:r/>
            <w:r>
              <w:rPr>
                <w:rFonts w:ascii="Calibri" w:hAnsi="Calibri" w:cs="Calibri" w:eastAsia="Calibri"/>
                <w:b/>
                <w:i w:val="0"/>
                <w:color w:val="FFFFFF"/>
                <w:sz w:val="18"/>
                <w:szCs w:val="18"/>
                <w:bCs/>
              </w:rPr>
              <w:t>In-house</w:t>
            </w:r>
          </w:p>
        </w:tc>
        <w:tc>
          <w:tcPr>
            <w:tcW w:type="dxa" w:w="1984"/>
            <w:shd w:val="clear" w:color="auto" w:fill="1F3864"/>
          </w:tcPr>
          <w:p>
            <w:r/>
            <w:r>
              <w:rPr>
                <w:rFonts w:ascii="Calibri" w:hAnsi="Calibri" w:cs="Calibri" w:eastAsia="Calibri"/>
                <w:b/>
                <w:i w:val="0"/>
                <w:color w:val="FFFFFF"/>
                <w:sz w:val="18"/>
                <w:szCs w:val="18"/>
                <w:bCs/>
              </w:rPr>
              <w:t>Outsourced</w:t>
            </w:r>
          </w:p>
        </w:tc>
        <w:tc>
          <w:tcPr>
            <w:tcW w:type="dxa" w:w="2835"/>
            <w:shd w:val="clear" w:color="auto" w:fill="1F3864"/>
          </w:tcPr>
          <w:p>
            <w:r/>
            <w:r>
              <w:rPr>
                <w:rFonts w:ascii="Calibri" w:hAnsi="Calibri" w:cs="Calibri" w:eastAsia="Calibri"/>
                <w:b/>
                <w:i w:val="0"/>
                <w:color w:val="FFFFFF"/>
                <w:sz w:val="18"/>
                <w:szCs w:val="18"/>
                <w:bCs/>
              </w:rPr>
              <w:t>Rationale</w:t>
            </w:r>
          </w:p>
        </w:tc>
      </w:tr>
      <w:tr>
        <w:tc>
          <w:tcPr>
            <w:tcW w:type="dxa" w:w="2268"/>
          </w:tcPr>
          <w:p>
            <w:r/>
            <w:r>
              <w:rPr>
                <w:rFonts w:ascii="Calibri" w:hAnsi="Calibri" w:cs="Calibri" w:eastAsia="Calibri"/>
                <w:b w:val="0"/>
                <w:i w:val="0"/>
                <w:sz w:val="18"/>
                <w:szCs w:val="18"/>
              </w:rPr>
              <w:t>Governance and risk</w:t>
            </w:r>
          </w:p>
        </w:tc>
        <w:tc>
          <w:tcPr>
            <w:tcW w:type="dxa" w:w="2268"/>
          </w:tcPr>
          <w:p>
            <w:r/>
            <w:r>
              <w:rPr>
                <w:rFonts w:ascii="Calibri" w:hAnsi="Calibri" w:cs="Calibri" w:eastAsia="Calibri"/>
                <w:b w:val="0"/>
                <w:i w:val="0"/>
                <w:sz w:val="18"/>
                <w:szCs w:val="18"/>
              </w:rPr>
              <w:t>Security Manager, GRC analyst</w:t>
            </w:r>
          </w:p>
        </w:tc>
        <w:tc>
          <w:tcPr>
            <w:tcW w:type="dxa" w:w="1984"/>
          </w:tcPr>
          <w:p>
            <w:r/>
          </w:p>
        </w:tc>
        <w:tc>
          <w:tcPr>
            <w:tcW w:type="dxa" w:w="2835"/>
          </w:tcPr>
          <w:p>
            <w:r/>
            <w:r>
              <w:rPr>
                <w:rFonts w:ascii="Calibri" w:hAnsi="Calibri" w:cs="Calibri" w:eastAsia="Calibri"/>
                <w:b w:val="0"/>
                <w:i w:val="0"/>
                <w:sz w:val="18"/>
                <w:szCs w:val="18"/>
              </w:rPr>
              <w:t>Requires business knowledge</w:t>
            </w:r>
          </w:p>
        </w:tc>
      </w:tr>
      <w:tr>
        <w:tc>
          <w:tcPr>
            <w:tcW w:type="dxa" w:w="2268"/>
          </w:tcPr>
          <w:p>
            <w:r/>
            <w:r>
              <w:rPr>
                <w:rFonts w:ascii="Calibri" w:hAnsi="Calibri" w:cs="Calibri" w:eastAsia="Calibri"/>
                <w:b w:val="0"/>
                <w:i w:val="0"/>
                <w:sz w:val="18"/>
                <w:szCs w:val="18"/>
              </w:rPr>
              <w:t>24x7 monitoring</w:t>
            </w:r>
          </w:p>
        </w:tc>
        <w:tc>
          <w:tcPr>
            <w:tcW w:type="dxa" w:w="2268"/>
          </w:tcPr>
          <w:p>
            <w:r/>
          </w:p>
        </w:tc>
        <w:tc>
          <w:tcPr>
            <w:tcW w:type="dxa" w:w="1984"/>
          </w:tcPr>
          <w:p>
            <w:r/>
            <w:r>
              <w:rPr>
                <w:rFonts w:ascii="Calibri" w:hAnsi="Calibri" w:cs="Calibri" w:eastAsia="Calibri"/>
                <w:b w:val="0"/>
                <w:i w:val="0"/>
                <w:sz w:val="18"/>
                <w:szCs w:val="18"/>
              </w:rPr>
              <w:t>MSSP</w:t>
            </w:r>
          </w:p>
        </w:tc>
        <w:tc>
          <w:tcPr>
            <w:tcW w:type="dxa" w:w="2835"/>
          </w:tcPr>
          <w:p>
            <w:r/>
            <w:r>
              <w:rPr>
                <w:rFonts w:ascii="Calibri" w:hAnsi="Calibri" w:cs="Calibri" w:eastAsia="Calibri"/>
                <w:b w:val="0"/>
                <w:i w:val="0"/>
                <w:sz w:val="18"/>
                <w:szCs w:val="18"/>
              </w:rPr>
              <w:t>Cost of a 24x7 in-house team</w:t>
            </w:r>
          </w:p>
        </w:tc>
      </w:tr>
      <w:tr>
        <w:tc>
          <w:tcPr>
            <w:tcW w:type="dxa" w:w="2268"/>
          </w:tcPr>
          <w:p>
            <w:r/>
            <w:r>
              <w:rPr>
                <w:rFonts w:ascii="Calibri" w:hAnsi="Calibri" w:cs="Calibri" w:eastAsia="Calibri"/>
                <w:b w:val="0"/>
                <w:i w:val="0"/>
                <w:sz w:val="18"/>
                <w:szCs w:val="18"/>
              </w:rPr>
              <w:t>Engineering</w:t>
            </w:r>
          </w:p>
        </w:tc>
        <w:tc>
          <w:tcPr>
            <w:tcW w:type="dxa" w:w="2268"/>
          </w:tcPr>
          <w:p>
            <w:r/>
            <w:r>
              <w:rPr>
                <w:rFonts w:ascii="Calibri" w:hAnsi="Calibri" w:cs="Calibri" w:eastAsia="Calibri"/>
                <w:b w:val="0"/>
                <w:i w:val="0"/>
                <w:sz w:val="18"/>
                <w:szCs w:val="18"/>
              </w:rPr>
              <w:t>Security engineers</w:t>
            </w:r>
          </w:p>
        </w:tc>
        <w:tc>
          <w:tcPr>
            <w:tcW w:type="dxa" w:w="1984"/>
          </w:tcPr>
          <w:p>
            <w:r/>
          </w:p>
        </w:tc>
        <w:tc>
          <w:tcPr>
            <w:tcW w:type="dxa" w:w="2835"/>
          </w:tcPr>
          <w:p>
            <w:r/>
            <w:r>
              <w:rPr>
                <w:rFonts w:ascii="Calibri" w:hAnsi="Calibri" w:cs="Calibri" w:eastAsia="Calibri"/>
                <w:b w:val="0"/>
                <w:i w:val="0"/>
                <w:sz w:val="18"/>
                <w:szCs w:val="18"/>
              </w:rPr>
              <w:t>Daily control operation</w:t>
            </w:r>
          </w:p>
        </w:tc>
      </w:tr>
      <w:tr>
        <w:tc>
          <w:tcPr>
            <w:tcW w:type="dxa" w:w="2268"/>
          </w:tcPr>
          <w:p>
            <w:r/>
            <w:r>
              <w:rPr>
                <w:rFonts w:ascii="Calibri" w:hAnsi="Calibri" w:cs="Calibri" w:eastAsia="Calibri"/>
                <w:b w:val="0"/>
                <w:i w:val="0"/>
                <w:sz w:val="18"/>
                <w:szCs w:val="18"/>
              </w:rPr>
              <w:t>Incident response</w:t>
            </w:r>
          </w:p>
        </w:tc>
        <w:tc>
          <w:tcPr>
            <w:tcW w:type="dxa" w:w="2268"/>
          </w:tcPr>
          <w:p>
            <w:r/>
            <w:r>
              <w:rPr>
                <w:rFonts w:ascii="Calibri" w:hAnsi="Calibri" w:cs="Calibri" w:eastAsia="Calibri"/>
                <w:b w:val="0"/>
                <w:i w:val="0"/>
                <w:sz w:val="18"/>
                <w:szCs w:val="18"/>
              </w:rPr>
              <w:t>Coordination</w:t>
            </w:r>
          </w:p>
        </w:tc>
        <w:tc>
          <w:tcPr>
            <w:tcW w:type="dxa" w:w="1984"/>
          </w:tcPr>
          <w:p>
            <w:r/>
            <w:r>
              <w:rPr>
                <w:rFonts w:ascii="Calibri" w:hAnsi="Calibri" w:cs="Calibri" w:eastAsia="Calibri"/>
                <w:b w:val="0"/>
                <w:i w:val="0"/>
                <w:sz w:val="18"/>
                <w:szCs w:val="18"/>
              </w:rPr>
              <w:t>Retainer</w:t>
            </w:r>
          </w:p>
        </w:tc>
        <w:tc>
          <w:tcPr>
            <w:tcW w:type="dxa" w:w="2835"/>
          </w:tcPr>
          <w:p>
            <w:r/>
            <w:r>
              <w:rPr>
                <w:rFonts w:ascii="Calibri" w:hAnsi="Calibri" w:cs="Calibri" w:eastAsia="Calibri"/>
                <w:b w:val="0"/>
                <w:i w:val="0"/>
                <w:sz w:val="18"/>
                <w:szCs w:val="18"/>
              </w:rPr>
              <w:t>Specialist skills needed rarely</w:t>
            </w:r>
          </w:p>
        </w:tc>
      </w:tr>
    </w:tbl>
    <w:p>
      <w:pPr>
        <w:spacing w:after="40"/>
      </w:pP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Tie every budget line to a risk in the register and a gap in the CSF profile.</w:t>
      </w:r>
    </w:p>
    <w:p>
      <w:pPr>
        <w:pStyle w:val="ListBullet"/>
        <w:spacing w:after="40"/>
      </w:pPr>
      <w:r>
        <w:rPr>
          <w:rFonts w:ascii="Calibri" w:hAnsi="Calibri" w:cs="Calibri" w:eastAsia="Calibri"/>
          <w:b w:val="0"/>
          <w:i w:val="0"/>
          <w:sz w:val="21"/>
          <w:szCs w:val="21"/>
        </w:rPr>
        <w:t>Present options (minimum, recommended, accelerated) with the risk each leaves open.</w:t>
      </w:r>
    </w:p>
    <w:p>
      <w:pPr>
        <w:pStyle w:val="ListBullet"/>
        <w:spacing w:after="40"/>
      </w:pPr>
      <w:r>
        <w:rPr>
          <w:rFonts w:ascii="Calibri" w:hAnsi="Calibri" w:cs="Calibri" w:eastAsia="Calibri"/>
          <w:b w:val="0"/>
          <w:i w:val="0"/>
          <w:sz w:val="21"/>
          <w:szCs w:val="21"/>
        </w:rPr>
        <w:t>Plan for recurring operating costs, not only purchases.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Buying tools without budget for people to operate them.</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GV.RR-03: Adequate resources are allocated commensurate with risk strategy, roles, and policies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7.1</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PM-3</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7.1 (resources; not mandated as documented information)</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GV-STR-001: Cybersecurity Strategy and Roadmap</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GV-PLN-001  |  Cybersecurity Budget and Resource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