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Human Resources Security Standard</w:t>
      </w:r>
    </w:p>
    <w:p>
      <w:pPr>
        <w:spacing w:after="80" w:before="0"/>
      </w:pPr>
      <w:r>
        <w:rPr>
          <w:rFonts w:ascii="Calibri" w:hAnsi="Calibri" w:cs="Calibri" w:eastAsia="Calibri"/>
          <w:b w:val="0"/>
          <w:i w:val="0"/>
          <w:color w:val="595959"/>
          <w:sz w:val="18"/>
          <w:szCs w:val="18"/>
        </w:rPr>
        <w:t>GV-STD-001  |  Standard  |  Roles, Responsibilities, and Authorities (GV.RR)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GV-STD-001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Human Resources Security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Human Resources Director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9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9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Roles, Responsibilities, and Authorities (GV.RR)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6.1 to 6.5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People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11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9 July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the security requirements for the employment life cycle, from screening and onboarding to role changes, discipline, and termination (GV.RR-04).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measurable requirements for each employment stage.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1587"/>
        <w:gridCol w:w="6860"/>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1587"/>
            <w:shd w:val="clear" w:color="auto" w:fill="1F3864"/>
          </w:tcPr>
          <w:p>
            <w:r/>
            <w:r>
              <w:rPr>
                <w:rFonts w:ascii="Calibri" w:hAnsi="Calibri" w:cs="Calibri" w:eastAsia="Calibri"/>
                <w:b/>
                <w:i w:val="0"/>
                <w:color w:val="FFFFFF"/>
                <w:sz w:val="18"/>
                <w:szCs w:val="18"/>
                <w:bCs/>
              </w:rPr>
              <w:t>Stage</w:t>
            </w:r>
          </w:p>
        </w:tc>
        <w:tc>
          <w:tcPr>
            <w:tcW w:type="dxa" w:w="6860"/>
            <w:shd w:val="clear" w:color="auto" w:fill="1F3864"/>
          </w:tcPr>
          <w:p>
            <w:r/>
            <w:r>
              <w:rPr>
                <w:rFonts w:ascii="Calibri" w:hAnsi="Calibri" w:cs="Calibri" w:eastAsia="Calibri"/>
                <w:b/>
                <w:i w:val="0"/>
                <w:color w:val="FFFFFF"/>
                <w:sz w:val="18"/>
                <w:szCs w:val="18"/>
                <w:bCs/>
              </w:rPr>
              <w:t>CMC requirement</w:t>
            </w:r>
          </w:p>
        </w:tc>
      </w:tr>
      <w:tr>
        <w:tc>
          <w:tcPr>
            <w:tcW w:type="dxa" w:w="907"/>
          </w:tcPr>
          <w:p>
            <w:r/>
            <w:r>
              <w:rPr>
                <w:rFonts w:ascii="Calibri" w:hAnsi="Calibri" w:cs="Calibri" w:eastAsia="Calibri"/>
                <w:b w:val="0"/>
                <w:i w:val="0"/>
                <w:sz w:val="18"/>
                <w:szCs w:val="18"/>
              </w:rPr>
              <w:t>HR-01</w:t>
            </w:r>
          </w:p>
        </w:tc>
        <w:tc>
          <w:tcPr>
            <w:tcW w:type="dxa" w:w="1587"/>
          </w:tcPr>
          <w:p>
            <w:r/>
            <w:r>
              <w:rPr>
                <w:rFonts w:ascii="Calibri" w:hAnsi="Calibri" w:cs="Calibri" w:eastAsia="Calibri"/>
                <w:b w:val="0"/>
                <w:i w:val="0"/>
                <w:sz w:val="18"/>
                <w:szCs w:val="18"/>
              </w:rPr>
              <w:t>Screening</w:t>
            </w:r>
          </w:p>
        </w:tc>
        <w:tc>
          <w:tcPr>
            <w:tcW w:type="dxa" w:w="6860"/>
          </w:tcPr>
          <w:p>
            <w:r/>
            <w:r>
              <w:rPr>
                <w:rFonts w:ascii="Calibri" w:hAnsi="Calibri" w:cs="Calibri" w:eastAsia="Calibri"/>
                <w:b w:val="0"/>
                <w:i w:val="0"/>
                <w:sz w:val="18"/>
                <w:szCs w:val="18"/>
              </w:rPr>
              <w:t>Verify professional licenses for physicians, nurses, and pharmacists with the relevant councils; criminal record checks for IT administrators and finance staff.</w:t>
            </w:r>
          </w:p>
        </w:tc>
      </w:tr>
      <w:tr>
        <w:tc>
          <w:tcPr>
            <w:tcW w:type="dxa" w:w="907"/>
          </w:tcPr>
          <w:p>
            <w:r/>
            <w:r>
              <w:rPr>
                <w:rFonts w:ascii="Calibri" w:hAnsi="Calibri" w:cs="Calibri" w:eastAsia="Calibri"/>
                <w:b w:val="0"/>
                <w:i w:val="0"/>
                <w:sz w:val="18"/>
                <w:szCs w:val="18"/>
              </w:rPr>
              <w:t>HR-02</w:t>
            </w:r>
          </w:p>
        </w:tc>
        <w:tc>
          <w:tcPr>
            <w:tcW w:type="dxa" w:w="1587"/>
          </w:tcPr>
          <w:p>
            <w:r/>
            <w:r>
              <w:rPr>
                <w:rFonts w:ascii="Calibri" w:hAnsi="Calibri" w:cs="Calibri" w:eastAsia="Calibri"/>
                <w:b w:val="0"/>
                <w:i w:val="0"/>
                <w:sz w:val="18"/>
                <w:szCs w:val="18"/>
              </w:rPr>
              <w:t>Terms</w:t>
            </w:r>
          </w:p>
        </w:tc>
        <w:tc>
          <w:tcPr>
            <w:tcW w:type="dxa" w:w="6860"/>
          </w:tcPr>
          <w:p>
            <w:r/>
            <w:r>
              <w:rPr>
                <w:rFonts w:ascii="Calibri" w:hAnsi="Calibri" w:cs="Calibri" w:eastAsia="Calibri"/>
                <w:b w:val="0"/>
                <w:i w:val="0"/>
                <w:sz w:val="18"/>
                <w:szCs w:val="18"/>
              </w:rPr>
              <w:t>Contracts include patient confidentiality obligations consistent with professional ethics and PDPA.</w:t>
            </w:r>
          </w:p>
        </w:tc>
      </w:tr>
      <w:tr>
        <w:tc>
          <w:tcPr>
            <w:tcW w:type="dxa" w:w="907"/>
          </w:tcPr>
          <w:p>
            <w:r/>
            <w:r>
              <w:rPr>
                <w:rFonts w:ascii="Calibri" w:hAnsi="Calibri" w:cs="Calibri" w:eastAsia="Calibri"/>
                <w:b w:val="0"/>
                <w:i w:val="0"/>
                <w:sz w:val="18"/>
                <w:szCs w:val="18"/>
              </w:rPr>
              <w:t>HR-03</w:t>
            </w:r>
          </w:p>
        </w:tc>
        <w:tc>
          <w:tcPr>
            <w:tcW w:type="dxa" w:w="1587"/>
          </w:tcPr>
          <w:p>
            <w:r/>
            <w:r>
              <w:rPr>
                <w:rFonts w:ascii="Calibri" w:hAnsi="Calibri" w:cs="Calibri" w:eastAsia="Calibri"/>
                <w:b w:val="0"/>
                <w:i w:val="0"/>
                <w:sz w:val="18"/>
                <w:szCs w:val="18"/>
              </w:rPr>
              <w:t>Onboarding</w:t>
            </w:r>
          </w:p>
        </w:tc>
        <w:tc>
          <w:tcPr>
            <w:tcW w:type="dxa" w:w="6860"/>
          </w:tcPr>
          <w:p>
            <w:r/>
            <w:r>
              <w:rPr>
                <w:rFonts w:ascii="Calibri" w:hAnsi="Calibri" w:cs="Calibri" w:eastAsia="Calibri"/>
                <w:b w:val="0"/>
                <w:i w:val="0"/>
                <w:sz w:val="18"/>
                <w:szCs w:val="18"/>
              </w:rPr>
              <w:t>Clinical staff complete the 30-minute security and privacy module before HIS access.</w:t>
            </w:r>
          </w:p>
        </w:tc>
      </w:tr>
      <w:tr>
        <w:tc>
          <w:tcPr>
            <w:tcW w:type="dxa" w:w="907"/>
          </w:tcPr>
          <w:p>
            <w:r/>
            <w:r>
              <w:rPr>
                <w:rFonts w:ascii="Calibri" w:hAnsi="Calibri" w:cs="Calibri" w:eastAsia="Calibri"/>
                <w:b w:val="0"/>
                <w:i w:val="0"/>
                <w:sz w:val="18"/>
                <w:szCs w:val="18"/>
              </w:rPr>
              <w:t>HR-04</w:t>
            </w:r>
          </w:p>
        </w:tc>
        <w:tc>
          <w:tcPr>
            <w:tcW w:type="dxa" w:w="1587"/>
          </w:tcPr>
          <w:p>
            <w:r/>
            <w:r>
              <w:rPr>
                <w:rFonts w:ascii="Calibri" w:hAnsi="Calibri" w:cs="Calibri" w:eastAsia="Calibri"/>
                <w:b w:val="0"/>
                <w:i w:val="0"/>
                <w:sz w:val="18"/>
                <w:szCs w:val="18"/>
              </w:rPr>
              <w:t>Role change</w:t>
            </w:r>
          </w:p>
        </w:tc>
        <w:tc>
          <w:tcPr>
            <w:tcW w:type="dxa" w:w="6860"/>
          </w:tcPr>
          <w:p>
            <w:r/>
            <w:r>
              <w:rPr>
                <w:rFonts w:ascii="Calibri" w:hAnsi="Calibri" w:cs="Calibri" w:eastAsia="Calibri"/>
                <w:b w:val="0"/>
                <w:i w:val="0"/>
                <w:sz w:val="18"/>
                <w:szCs w:val="18"/>
              </w:rPr>
              <w:t>HR updates the HR system; the HIS role changes automatically through the identity integration (2026).</w:t>
            </w:r>
          </w:p>
        </w:tc>
      </w:tr>
      <w:tr>
        <w:tc>
          <w:tcPr>
            <w:tcW w:type="dxa" w:w="907"/>
          </w:tcPr>
          <w:p>
            <w:r/>
            <w:r>
              <w:rPr>
                <w:rFonts w:ascii="Calibri" w:hAnsi="Calibri" w:cs="Calibri" w:eastAsia="Calibri"/>
                <w:b w:val="0"/>
                <w:i w:val="0"/>
                <w:sz w:val="18"/>
                <w:szCs w:val="18"/>
              </w:rPr>
              <w:t>HR-05</w:t>
            </w:r>
          </w:p>
        </w:tc>
        <w:tc>
          <w:tcPr>
            <w:tcW w:type="dxa" w:w="1587"/>
          </w:tcPr>
          <w:p>
            <w:r/>
            <w:r>
              <w:rPr>
                <w:rFonts w:ascii="Calibri" w:hAnsi="Calibri" w:cs="Calibri" w:eastAsia="Calibri"/>
                <w:b w:val="0"/>
                <w:i w:val="0"/>
                <w:sz w:val="18"/>
                <w:szCs w:val="18"/>
              </w:rPr>
              <w:t>Termination</w:t>
            </w:r>
          </w:p>
        </w:tc>
        <w:tc>
          <w:tcPr>
            <w:tcW w:type="dxa" w:w="6860"/>
          </w:tcPr>
          <w:p>
            <w:r/>
            <w:r>
              <w:rPr>
                <w:rFonts w:ascii="Calibri" w:hAnsi="Calibri" w:cs="Calibri" w:eastAsia="Calibri"/>
                <w:b w:val="0"/>
                <w:i w:val="0"/>
                <w:sz w:val="18"/>
                <w:szCs w:val="18"/>
              </w:rPr>
              <w:t>Accounts disabled on the last working day; resident physicians on rotation are disabled on rotation end date.</w:t>
            </w:r>
          </w:p>
        </w:tc>
      </w:tr>
      <w:tr>
        <w:tc>
          <w:tcPr>
            <w:tcW w:type="dxa" w:w="907"/>
          </w:tcPr>
          <w:p>
            <w:r/>
            <w:r>
              <w:rPr>
                <w:rFonts w:ascii="Calibri" w:hAnsi="Calibri" w:cs="Calibri" w:eastAsia="Calibri"/>
                <w:b w:val="0"/>
                <w:i w:val="0"/>
                <w:sz w:val="18"/>
                <w:szCs w:val="18"/>
              </w:rPr>
              <w:t>HR-06</w:t>
            </w:r>
          </w:p>
        </w:tc>
        <w:tc>
          <w:tcPr>
            <w:tcW w:type="dxa" w:w="1587"/>
          </w:tcPr>
          <w:p>
            <w:r/>
            <w:r>
              <w:rPr>
                <w:rFonts w:ascii="Calibri" w:hAnsi="Calibri" w:cs="Calibri" w:eastAsia="Calibri"/>
                <w:b w:val="0"/>
                <w:i w:val="0"/>
                <w:sz w:val="18"/>
                <w:szCs w:val="18"/>
              </w:rPr>
              <w:t>Discipline</w:t>
            </w:r>
          </w:p>
        </w:tc>
        <w:tc>
          <w:tcPr>
            <w:tcW w:type="dxa" w:w="6860"/>
          </w:tcPr>
          <w:p>
            <w:r/>
            <w:r>
              <w:rPr>
                <w:rFonts w:ascii="Calibri" w:hAnsi="Calibri" w:cs="Calibri" w:eastAsia="Calibri"/>
                <w:b w:val="0"/>
                <w:i w:val="0"/>
                <w:sz w:val="18"/>
                <w:szCs w:val="18"/>
              </w:rPr>
              <w:t>Security violations follow the CMC disciplinary regulation.</w:t>
            </w:r>
          </w:p>
        </w:tc>
      </w:tr>
      <w:tr>
        <w:tc>
          <w:tcPr>
            <w:tcW w:type="dxa" w:w="907"/>
          </w:tcPr>
          <w:p>
            <w:r/>
            <w:r>
              <w:rPr>
                <w:rFonts w:ascii="Calibri" w:hAnsi="Calibri" w:cs="Calibri" w:eastAsia="Calibri"/>
                <w:b w:val="0"/>
                <w:i w:val="0"/>
                <w:sz w:val="18"/>
                <w:szCs w:val="18"/>
              </w:rPr>
              <w:t>HR-07</w:t>
            </w:r>
          </w:p>
        </w:tc>
        <w:tc>
          <w:tcPr>
            <w:tcW w:type="dxa" w:w="1587"/>
          </w:tcPr>
          <w:p>
            <w:r/>
            <w:r>
              <w:rPr>
                <w:rFonts w:ascii="Calibri" w:hAnsi="Calibri" w:cs="Calibri" w:eastAsia="Calibri"/>
                <w:b w:val="0"/>
                <w:i w:val="0"/>
                <w:sz w:val="18"/>
                <w:szCs w:val="18"/>
              </w:rPr>
              <w:t>Third-party staff</w:t>
            </w:r>
          </w:p>
        </w:tc>
        <w:tc>
          <w:tcPr>
            <w:tcW w:type="dxa" w:w="6860"/>
          </w:tcPr>
          <w:p>
            <w:r/>
            <w:r>
              <w:rPr>
                <w:rFonts w:ascii="Calibri" w:hAnsi="Calibri" w:cs="Calibri" w:eastAsia="Calibri"/>
                <w:b w:val="0"/>
                <w:i w:val="0"/>
                <w:sz w:val="18"/>
                <w:szCs w:val="18"/>
              </w:rPr>
              <w:t>Outsourced nurses, cleaners, and vendor engineers sign GV-FRM-002.</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Automate joiner, mover, and leaver events from the HR system to identity systems.</w:t>
      </w:r>
    </w:p>
    <w:p>
      <w:pPr>
        <w:pStyle w:val="ListBullet"/>
        <w:spacing w:after="40"/>
      </w:pPr>
      <w:r>
        <w:rPr>
          <w:rFonts w:ascii="Calibri" w:hAnsi="Calibri" w:cs="Calibri" w:eastAsia="Calibri"/>
          <w:b w:val="0"/>
          <w:i w:val="0"/>
          <w:sz w:val="21"/>
          <w:szCs w:val="21"/>
        </w:rPr>
        <w:t>Reconcile HR leavers against active accounts every month.</w:t>
      </w:r>
    </w:p>
    <w:p>
      <w:pPr>
        <w:pStyle w:val="ListBullet"/>
        <w:spacing w:after="40"/>
      </w:pPr>
      <w:r>
        <w:rPr>
          <w:rFonts w:ascii="Calibri" w:hAnsi="Calibri" w:cs="Calibri" w:eastAsia="Calibri"/>
          <w:b w:val="0"/>
          <w:i w:val="0"/>
          <w:sz w:val="21"/>
          <w:szCs w:val="21"/>
        </w:rPr>
        <w:t>Obtain consent and limit background checks to what the role requires, consistent with the PDPA.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Leavers keep access for weeks because HR and IT do not share a trigger.</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GV.RR-04: Cybersecurity is included in human resources practices</w:t>
            </w:r>
          </w:p>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A.6.1, Annex A.6.2, Annex A.6.4, Annex A.6.5</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PS-2, PS-3, PS-4, PS-5, PS-7, PS-8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6.1 to 6.5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GV-FRM-002: Confidentiality and Non-Disclosure Agreement</w:t>
            </w:r>
          </w:p>
          <w:p>
            <w:r>
              <w:rPr>
                <w:rFonts w:ascii="Calibri" w:hAnsi="Calibri" w:cs="Calibri" w:eastAsia="Calibri"/>
                <w:b w:val="0"/>
                <w:i w:val="0"/>
                <w:sz w:val="18"/>
                <w:szCs w:val="18"/>
              </w:rPr>
              <w:t>GV-FRM-003: Employee Offboarding Security Checklist</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GV-STD-001  |  Human Resources Security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