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Job Description Templates</w:t>
      </w:r>
    </w:p>
    <w:p>
      <w:pPr>
        <w:spacing w:after="80" w:before="0"/>
      </w:pPr>
      <w:r>
        <w:rPr>
          <w:rFonts w:ascii="Calibri" w:hAnsi="Calibri" w:cs="Calibri" w:eastAsia="Calibri"/>
          <w:b w:val="0"/>
          <w:i w:val="0"/>
          <w:color w:val="595959"/>
          <w:sz w:val="18"/>
          <w:szCs w:val="18"/>
        </w:rPr>
        <w:t>GV-TPL-001  |  Template  |  Roles, Responsibilities, and Authorities (GV.RR)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GV-TPL-001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Job Description Templates</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Human Resources Director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14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14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Roles, Responsibilities, and Authorities (GV.RR)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Common practice; NICE Workforce Framework (NIST SP 800-181 Rev. 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People,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24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Human Resources Director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14 August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Human Resources Director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These templates define job descriptions for core cybersecurity roles, including purpose, responsibilities, competencies, and reporting lines, to support hiring and performance management.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(GV-REG-003) and covers the activities that document defines.</w:t>
      </w:r>
    </w:p>
    <w:p>
      <w:pPr>
        <w:pStyle w:val="Heading2"/>
        <w:keepNext/>
        <w:spacing w:before="120" w:after="80"/>
      </w:pPr>
      <w:r>
        <w:rPr>
          <w:rFonts w:ascii="Calibri" w:hAnsi="Calibri" w:cs="Calibri" w:eastAsia="Calibri"/>
          <w:b/>
          <w:i w:val="0"/>
          <w:color w:val="1F3864"/>
          <w:sz w:val="24"/>
          <w:szCs w:val="24"/>
          <w:bCs/>
        </w:rPr>
        <w:t>4.3 Security Manager or CISO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purpose, key responsibilities, competencies, and qualifications.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7087"/>
      </w:tblGrid>
      <w:tr>
        <w:trPr>
          <w:tblHeader w:val="true"/>
        </w:trPr>
        <w:tc>
          <w:tcPr>
            <w:tcW w:type="dxa" w:w="2268"/>
            <w:shd w:val="clear" w:color="auto" w:fill="1F3864"/>
          </w:tcPr>
          <w:p>
            <w:r/>
            <w:r>
              <w:rPr>
                <w:rFonts w:ascii="Calibri" w:hAnsi="Calibri" w:cs="Calibri" w:eastAsia="Calibri"/>
                <w:b/>
                <w:i w:val="0"/>
                <w:color w:val="FFFFFF"/>
                <w:sz w:val="18"/>
                <w:szCs w:val="18"/>
                <w:bCs/>
              </w:rPr>
              <w:t>Element</w:t>
            </w:r>
          </w:p>
        </w:tc>
        <w:tc>
          <w:tcPr>
            <w:tcW w:type="dxa" w:w="7087"/>
            <w:shd w:val="clear" w:color="auto" w:fill="1F3864"/>
          </w:tcPr>
          <w:p>
            <w:r/>
            <w:r>
              <w:rPr>
                <w:rFonts w:ascii="Calibri" w:hAnsi="Calibri" w:cs="Calibri" w:eastAsia="Calibri"/>
                <w:b/>
                <w:i w:val="0"/>
                <w:color w:val="FFFFFF"/>
                <w:sz w:val="18"/>
                <w:szCs w:val="18"/>
                <w:bCs/>
              </w:rPr>
              <w:t>Content</w:t>
            </w:r>
          </w:p>
        </w:tc>
      </w:tr>
      <w:tr>
        <w:tc>
          <w:tcPr>
            <w:tcW w:type="dxa" w:w="2268"/>
          </w:tcPr>
          <w:p>
            <w:r/>
            <w:r>
              <w:rPr>
                <w:rFonts w:ascii="Calibri" w:hAnsi="Calibri" w:cs="Calibri" w:eastAsia="Calibri"/>
                <w:b w:val="0"/>
                <w:i w:val="0"/>
                <w:sz w:val="18"/>
                <w:szCs w:val="18"/>
              </w:rPr>
              <w:t>Purpose</w:t>
            </w:r>
          </w:p>
        </w:tc>
        <w:tc>
          <w:tcPr>
            <w:tcW w:type="dxa" w:w="7087"/>
          </w:tcPr>
          <w:p>
            <w:r/>
            <w:r>
              <w:rPr>
                <w:rFonts w:ascii="Calibri" w:hAnsi="Calibri" w:cs="Calibri" w:eastAsia="Calibri"/>
                <w:b w:val="0"/>
                <w:i w:val="0"/>
                <w:sz w:val="18"/>
                <w:szCs w:val="18"/>
              </w:rPr>
              <w:t>Lead the cybersecurity program to keep risk within appetite.</w:t>
            </w:r>
          </w:p>
        </w:tc>
      </w:tr>
      <w:tr>
        <w:tc>
          <w:tcPr>
            <w:tcW w:type="dxa" w:w="2268"/>
          </w:tcPr>
          <w:p>
            <w:r/>
            <w:r>
              <w:rPr>
                <w:rFonts w:ascii="Calibri" w:hAnsi="Calibri" w:cs="Calibri" w:eastAsia="Calibri"/>
                <w:b w:val="0"/>
                <w:i w:val="0"/>
                <w:sz w:val="18"/>
                <w:szCs w:val="18"/>
              </w:rPr>
              <w:t>Reports to</w:t>
            </w:r>
          </w:p>
        </w:tc>
        <w:tc>
          <w:tcPr>
            <w:tcW w:type="dxa" w:w="7087"/>
          </w:tcPr>
          <w:p>
            <w:r/>
            <w:r>
              <w:rPr>
                <w:rFonts w:ascii="Calibri" w:hAnsi="Calibri" w:cs="Calibri" w:eastAsia="Calibri"/>
                <w:b w:val="0"/>
                <w:i w:val="0"/>
                <w:sz w:val="18"/>
                <w:szCs w:val="18"/>
              </w:rPr>
              <w:t>Chief Information Officer (CIO) with access to Chief Executive Officer (CEO) and CMC Audit Committee</w:t>
            </w:r>
          </w:p>
        </w:tc>
      </w:tr>
      <w:tr>
        <w:tc>
          <w:tcPr>
            <w:tcW w:type="dxa" w:w="2268"/>
          </w:tcPr>
          <w:p>
            <w:r/>
            <w:r>
              <w:rPr>
                <w:rFonts w:ascii="Calibri" w:hAnsi="Calibri" w:cs="Calibri" w:eastAsia="Calibri"/>
                <w:b w:val="0"/>
                <w:i w:val="0"/>
                <w:sz w:val="18"/>
                <w:szCs w:val="18"/>
              </w:rPr>
              <w:t>Key responsibilities</w:t>
            </w:r>
          </w:p>
        </w:tc>
        <w:tc>
          <w:tcPr>
            <w:tcW w:type="dxa" w:w="7087"/>
          </w:tcPr>
          <w:p>
            <w:r/>
            <w:r>
              <w:rPr>
                <w:rFonts w:ascii="Calibri" w:hAnsi="Calibri" w:cs="Calibri" w:eastAsia="Calibri"/>
                <w:b w:val="0"/>
                <w:i w:val="0"/>
                <w:sz w:val="18"/>
                <w:szCs w:val="18"/>
              </w:rPr>
              <w:t>Strategy and roadmap; policy framework; risk management; security operations oversight; incident response leadership; regulatory compliance; board reporting; budget and team management.</w:t>
            </w:r>
          </w:p>
        </w:tc>
      </w:tr>
      <w:tr>
        <w:tc>
          <w:tcPr>
            <w:tcW w:type="dxa" w:w="2268"/>
          </w:tcPr>
          <w:p>
            <w:r/>
            <w:r>
              <w:rPr>
                <w:rFonts w:ascii="Calibri" w:hAnsi="Calibri" w:cs="Calibri" w:eastAsia="Calibri"/>
                <w:b w:val="0"/>
                <w:i w:val="0"/>
                <w:sz w:val="18"/>
                <w:szCs w:val="18"/>
              </w:rPr>
              <w:t>Competencies</w:t>
            </w:r>
          </w:p>
        </w:tc>
        <w:tc>
          <w:tcPr>
            <w:tcW w:type="dxa" w:w="7087"/>
          </w:tcPr>
          <w:p>
            <w:r/>
            <w:r>
              <w:rPr>
                <w:rFonts w:ascii="Calibri" w:hAnsi="Calibri" w:cs="Calibri" w:eastAsia="Calibri"/>
                <w:b w:val="0"/>
                <w:i w:val="0"/>
                <w:sz w:val="18"/>
                <w:szCs w:val="18"/>
              </w:rPr>
              <w:t>Risk management, governance, stakeholder management, technical breadth across infrastructure, cloud, and applications.</w:t>
            </w:r>
          </w:p>
        </w:tc>
      </w:tr>
      <w:tr>
        <w:tc>
          <w:tcPr>
            <w:tcW w:type="dxa" w:w="2268"/>
          </w:tcPr>
          <w:p>
            <w:r/>
            <w:r>
              <w:rPr>
                <w:rFonts w:ascii="Calibri" w:hAnsi="Calibri" w:cs="Calibri" w:eastAsia="Calibri"/>
                <w:b w:val="0"/>
                <w:i w:val="0"/>
                <w:sz w:val="18"/>
                <w:szCs w:val="18"/>
              </w:rPr>
              <w:t>Qualifications</w:t>
            </w:r>
          </w:p>
        </w:tc>
        <w:tc>
          <w:tcPr>
            <w:tcW w:type="dxa" w:w="7087"/>
          </w:tcPr>
          <w:p>
            <w:r/>
            <w:r>
              <w:rPr>
                <w:rFonts w:ascii="Calibri" w:hAnsi="Calibri" w:cs="Calibri" w:eastAsia="Calibri"/>
                <w:b w:val="0"/>
                <w:i w:val="0"/>
                <w:sz w:val="18"/>
                <w:szCs w:val="18"/>
              </w:rPr>
              <w:t>Bachelor's degree; 8 or more years in security; CISSP or CISM preferred.</w:t>
            </w:r>
          </w:p>
        </w:tc>
      </w:tr>
    </w:tbl>
    <w:p>
      <w:pPr>
        <w:spacing w:after="40"/>
      </w:pPr>
    </w:p>
    <w:p>
      <w:pPr>
        <w:pStyle w:val="Heading2"/>
        <w:keepNext/>
        <w:spacing w:before="120" w:after="80"/>
      </w:pPr>
      <w:r>
        <w:rPr>
          <w:rFonts w:ascii="Calibri" w:hAnsi="Calibri" w:cs="Calibri" w:eastAsia="Calibri"/>
          <w:b/>
          <w:i w:val="0"/>
          <w:color w:val="1F3864"/>
          <w:sz w:val="24"/>
          <w:szCs w:val="24"/>
          <w:bCs/>
        </w:rPr>
        <w:t>4.4 Security Engineer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purpose, key responsibilities, competencies, and qualifications.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7087"/>
      </w:tblGrid>
      <w:tr>
        <w:trPr>
          <w:tblHeader w:val="true"/>
        </w:trPr>
        <w:tc>
          <w:tcPr>
            <w:tcW w:type="dxa" w:w="2268"/>
            <w:shd w:val="clear" w:color="auto" w:fill="1F3864"/>
          </w:tcPr>
          <w:p>
            <w:r/>
            <w:r>
              <w:rPr>
                <w:rFonts w:ascii="Calibri" w:hAnsi="Calibri" w:cs="Calibri" w:eastAsia="Calibri"/>
                <w:b/>
                <w:i w:val="0"/>
                <w:color w:val="FFFFFF"/>
                <w:sz w:val="18"/>
                <w:szCs w:val="18"/>
                <w:bCs/>
              </w:rPr>
              <w:t>Element</w:t>
            </w:r>
          </w:p>
        </w:tc>
        <w:tc>
          <w:tcPr>
            <w:tcW w:type="dxa" w:w="7087"/>
            <w:shd w:val="clear" w:color="auto" w:fill="1F3864"/>
          </w:tcPr>
          <w:p>
            <w:r/>
            <w:r>
              <w:rPr>
                <w:rFonts w:ascii="Calibri" w:hAnsi="Calibri" w:cs="Calibri" w:eastAsia="Calibri"/>
                <w:b/>
                <w:i w:val="0"/>
                <w:color w:val="FFFFFF"/>
                <w:sz w:val="18"/>
                <w:szCs w:val="18"/>
                <w:bCs/>
              </w:rPr>
              <w:t>Content</w:t>
            </w:r>
          </w:p>
        </w:tc>
      </w:tr>
      <w:tr>
        <w:tc>
          <w:tcPr>
            <w:tcW w:type="dxa" w:w="2268"/>
          </w:tcPr>
          <w:p>
            <w:r/>
            <w:r>
              <w:rPr>
                <w:rFonts w:ascii="Calibri" w:hAnsi="Calibri" w:cs="Calibri" w:eastAsia="Calibri"/>
                <w:b w:val="0"/>
                <w:i w:val="0"/>
                <w:sz w:val="18"/>
                <w:szCs w:val="18"/>
              </w:rPr>
              <w:t>Purpose</w:t>
            </w:r>
          </w:p>
        </w:tc>
        <w:tc>
          <w:tcPr>
            <w:tcW w:type="dxa" w:w="7087"/>
          </w:tcPr>
          <w:p>
            <w:r/>
            <w:r>
              <w:rPr>
                <w:rFonts w:ascii="Calibri" w:hAnsi="Calibri" w:cs="Calibri" w:eastAsia="Calibri"/>
                <w:b w:val="0"/>
                <w:i w:val="0"/>
                <w:sz w:val="18"/>
                <w:szCs w:val="18"/>
              </w:rPr>
              <w:t>Design, implement, and operate security controls.</w:t>
            </w:r>
          </w:p>
        </w:tc>
      </w:tr>
      <w:tr>
        <w:tc>
          <w:tcPr>
            <w:tcW w:type="dxa" w:w="2268"/>
          </w:tcPr>
          <w:p>
            <w:r/>
            <w:r>
              <w:rPr>
                <w:rFonts w:ascii="Calibri" w:hAnsi="Calibri" w:cs="Calibri" w:eastAsia="Calibri"/>
                <w:b w:val="0"/>
                <w:i w:val="0"/>
                <w:sz w:val="18"/>
                <w:szCs w:val="18"/>
              </w:rPr>
              <w:t>Reports to</w:t>
            </w:r>
          </w:p>
        </w:tc>
        <w:tc>
          <w:tcPr>
            <w:tcW w:type="dxa" w:w="7087"/>
          </w:tcPr>
          <w:p>
            <w:r/>
            <w:r>
              <w:rPr>
                <w:rFonts w:ascii="Calibri" w:hAnsi="Calibri" w:cs="Calibri" w:eastAsia="Calibri"/>
                <w:b w:val="0"/>
                <w:i w:val="0"/>
                <w:sz w:val="18"/>
                <w:szCs w:val="18"/>
              </w:rPr>
              <w:t>Security Manager</w:t>
            </w:r>
          </w:p>
        </w:tc>
      </w:tr>
      <w:tr>
        <w:tc>
          <w:tcPr>
            <w:tcW w:type="dxa" w:w="2268"/>
          </w:tcPr>
          <w:p>
            <w:r/>
            <w:r>
              <w:rPr>
                <w:rFonts w:ascii="Calibri" w:hAnsi="Calibri" w:cs="Calibri" w:eastAsia="Calibri"/>
                <w:b w:val="0"/>
                <w:i w:val="0"/>
                <w:sz w:val="18"/>
                <w:szCs w:val="18"/>
              </w:rPr>
              <w:t>Key responsibilities</w:t>
            </w:r>
          </w:p>
        </w:tc>
        <w:tc>
          <w:tcPr>
            <w:tcW w:type="dxa" w:w="7087"/>
          </w:tcPr>
          <w:p>
            <w:r/>
            <w:r>
              <w:rPr>
                <w:rFonts w:ascii="Calibri" w:hAnsi="Calibri" w:cs="Calibri" w:eastAsia="Calibri"/>
                <w:b w:val="0"/>
                <w:i w:val="0"/>
                <w:sz w:val="18"/>
                <w:szCs w:val="18"/>
              </w:rPr>
              <w:t>Identity and access controls, endpoint and network security, vulnerability management, log onboarding, incident handling support.</w:t>
            </w:r>
          </w:p>
        </w:tc>
      </w:tr>
      <w:tr>
        <w:tc>
          <w:tcPr>
            <w:tcW w:type="dxa" w:w="2268"/>
          </w:tcPr>
          <w:p>
            <w:r/>
            <w:r>
              <w:rPr>
                <w:rFonts w:ascii="Calibri" w:hAnsi="Calibri" w:cs="Calibri" w:eastAsia="Calibri"/>
                <w:b w:val="0"/>
                <w:i w:val="0"/>
                <w:sz w:val="18"/>
                <w:szCs w:val="18"/>
              </w:rPr>
              <w:t>Competencies</w:t>
            </w:r>
          </w:p>
        </w:tc>
        <w:tc>
          <w:tcPr>
            <w:tcW w:type="dxa" w:w="7087"/>
          </w:tcPr>
          <w:p>
            <w:r/>
            <w:r>
              <w:rPr>
                <w:rFonts w:ascii="Calibri" w:hAnsi="Calibri" w:cs="Calibri" w:eastAsia="Calibri"/>
                <w:b w:val="0"/>
                <w:i w:val="0"/>
                <w:sz w:val="18"/>
                <w:szCs w:val="18"/>
              </w:rPr>
              <w:t>Windows and Linux administration, networking, scripting, cloud security.</w:t>
            </w:r>
          </w:p>
        </w:tc>
      </w:tr>
      <w:tr>
        <w:tc>
          <w:tcPr>
            <w:tcW w:type="dxa" w:w="2268"/>
          </w:tcPr>
          <w:p>
            <w:r/>
            <w:r>
              <w:rPr>
                <w:rFonts w:ascii="Calibri" w:hAnsi="Calibri" w:cs="Calibri" w:eastAsia="Calibri"/>
                <w:b w:val="0"/>
                <w:i w:val="0"/>
                <w:sz w:val="18"/>
                <w:szCs w:val="18"/>
              </w:rPr>
              <w:t>Qualifications</w:t>
            </w:r>
          </w:p>
        </w:tc>
        <w:tc>
          <w:tcPr>
            <w:tcW w:type="dxa" w:w="7087"/>
          </w:tcPr>
          <w:p>
            <w:r/>
            <w:r>
              <w:rPr>
                <w:rFonts w:ascii="Calibri" w:hAnsi="Calibri" w:cs="Calibri" w:eastAsia="Calibri"/>
                <w:b w:val="0"/>
                <w:i w:val="0"/>
                <w:sz w:val="18"/>
                <w:szCs w:val="18"/>
              </w:rPr>
              <w:t>3 or more years in IT or security; Security+, CySA+, or vendor certifications preferred.</w:t>
            </w:r>
          </w:p>
        </w:tc>
      </w:tr>
    </w:tbl>
    <w:p>
      <w:pPr>
        <w:spacing w:after="40"/>
      </w:pPr>
    </w:p>
    <w:p>
      <w:pPr>
        <w:pStyle w:val="Heading2"/>
        <w:keepNext/>
        <w:spacing w:before="120" w:after="80"/>
      </w:pPr>
      <w:r>
        <w:rPr>
          <w:rFonts w:ascii="Calibri" w:hAnsi="Calibri" w:cs="Calibri" w:eastAsia="Calibri"/>
          <w:b/>
          <w:i w:val="0"/>
          <w:color w:val="1F3864"/>
          <w:sz w:val="24"/>
          <w:szCs w:val="24"/>
          <w:bCs/>
        </w:rPr>
        <w:t>4.5 GRC Analyst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purpose, key responsibilities, competencies, and qualifications.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7087"/>
      </w:tblGrid>
      <w:tr>
        <w:trPr>
          <w:tblHeader w:val="true"/>
        </w:trPr>
        <w:tc>
          <w:tcPr>
            <w:tcW w:type="dxa" w:w="2268"/>
            <w:shd w:val="clear" w:color="auto" w:fill="1F3864"/>
          </w:tcPr>
          <w:p>
            <w:r/>
            <w:r>
              <w:rPr>
                <w:rFonts w:ascii="Calibri" w:hAnsi="Calibri" w:cs="Calibri" w:eastAsia="Calibri"/>
                <w:b/>
                <w:i w:val="0"/>
                <w:color w:val="FFFFFF"/>
                <w:sz w:val="18"/>
                <w:szCs w:val="18"/>
                <w:bCs/>
              </w:rPr>
              <w:t>Element</w:t>
            </w:r>
          </w:p>
        </w:tc>
        <w:tc>
          <w:tcPr>
            <w:tcW w:type="dxa" w:w="7087"/>
            <w:shd w:val="clear" w:color="auto" w:fill="1F3864"/>
          </w:tcPr>
          <w:p>
            <w:r/>
            <w:r>
              <w:rPr>
                <w:rFonts w:ascii="Calibri" w:hAnsi="Calibri" w:cs="Calibri" w:eastAsia="Calibri"/>
                <w:b/>
                <w:i w:val="0"/>
                <w:color w:val="FFFFFF"/>
                <w:sz w:val="18"/>
                <w:szCs w:val="18"/>
                <w:bCs/>
              </w:rPr>
              <w:t>Content</w:t>
            </w:r>
          </w:p>
        </w:tc>
      </w:tr>
      <w:tr>
        <w:tc>
          <w:tcPr>
            <w:tcW w:type="dxa" w:w="2268"/>
          </w:tcPr>
          <w:p>
            <w:r/>
            <w:r>
              <w:rPr>
                <w:rFonts w:ascii="Calibri" w:hAnsi="Calibri" w:cs="Calibri" w:eastAsia="Calibri"/>
                <w:b w:val="0"/>
                <w:i w:val="0"/>
                <w:sz w:val="18"/>
                <w:szCs w:val="18"/>
              </w:rPr>
              <w:t>Purpose</w:t>
            </w:r>
          </w:p>
        </w:tc>
        <w:tc>
          <w:tcPr>
            <w:tcW w:type="dxa" w:w="7087"/>
          </w:tcPr>
          <w:p>
            <w:r/>
            <w:r>
              <w:rPr>
                <w:rFonts w:ascii="Calibri" w:hAnsi="Calibri" w:cs="Calibri" w:eastAsia="Calibri"/>
                <w:b w:val="0"/>
                <w:i w:val="0"/>
                <w:sz w:val="18"/>
                <w:szCs w:val="18"/>
              </w:rPr>
              <w:t>Maintain the policy, risk, and compliance framework.</w:t>
            </w:r>
          </w:p>
        </w:tc>
      </w:tr>
      <w:tr>
        <w:tc>
          <w:tcPr>
            <w:tcW w:type="dxa" w:w="2268"/>
          </w:tcPr>
          <w:p>
            <w:r/>
            <w:r>
              <w:rPr>
                <w:rFonts w:ascii="Calibri" w:hAnsi="Calibri" w:cs="Calibri" w:eastAsia="Calibri"/>
                <w:b w:val="0"/>
                <w:i w:val="0"/>
                <w:sz w:val="18"/>
                <w:szCs w:val="18"/>
              </w:rPr>
              <w:t>Reports to</w:t>
            </w:r>
          </w:p>
        </w:tc>
        <w:tc>
          <w:tcPr>
            <w:tcW w:type="dxa" w:w="7087"/>
          </w:tcPr>
          <w:p>
            <w:r/>
            <w:r>
              <w:rPr>
                <w:rFonts w:ascii="Calibri" w:hAnsi="Calibri" w:cs="Calibri" w:eastAsia="Calibri"/>
                <w:b w:val="0"/>
                <w:i w:val="0"/>
                <w:sz w:val="18"/>
                <w:szCs w:val="18"/>
              </w:rPr>
              <w:t>Security Manager</w:t>
            </w:r>
          </w:p>
        </w:tc>
      </w:tr>
      <w:tr>
        <w:tc>
          <w:tcPr>
            <w:tcW w:type="dxa" w:w="2268"/>
          </w:tcPr>
          <w:p>
            <w:r/>
            <w:r>
              <w:rPr>
                <w:rFonts w:ascii="Calibri" w:hAnsi="Calibri" w:cs="Calibri" w:eastAsia="Calibri"/>
                <w:b w:val="0"/>
                <w:i w:val="0"/>
                <w:sz w:val="18"/>
                <w:szCs w:val="18"/>
              </w:rPr>
              <w:t>Key responsibilities</w:t>
            </w:r>
          </w:p>
        </w:tc>
        <w:tc>
          <w:tcPr>
            <w:tcW w:type="dxa" w:w="7087"/>
          </w:tcPr>
          <w:p>
            <w:r/>
            <w:r>
              <w:rPr>
                <w:rFonts w:ascii="Calibri" w:hAnsi="Calibri" w:cs="Calibri" w:eastAsia="Calibri"/>
                <w:b w:val="0"/>
                <w:i w:val="0"/>
                <w:sz w:val="18"/>
                <w:szCs w:val="18"/>
              </w:rPr>
              <w:t>Document control, risk register, exceptions, vendor assessments, audit coordination, metrics reporting.</w:t>
            </w:r>
          </w:p>
        </w:tc>
      </w:tr>
      <w:tr>
        <w:tc>
          <w:tcPr>
            <w:tcW w:type="dxa" w:w="2268"/>
          </w:tcPr>
          <w:p>
            <w:r/>
            <w:r>
              <w:rPr>
                <w:rFonts w:ascii="Calibri" w:hAnsi="Calibri" w:cs="Calibri" w:eastAsia="Calibri"/>
                <w:b w:val="0"/>
                <w:i w:val="0"/>
                <w:sz w:val="18"/>
                <w:szCs w:val="18"/>
              </w:rPr>
              <w:t>Competencies</w:t>
            </w:r>
          </w:p>
        </w:tc>
        <w:tc>
          <w:tcPr>
            <w:tcW w:type="dxa" w:w="7087"/>
          </w:tcPr>
          <w:p>
            <w:r/>
            <w:r>
              <w:rPr>
                <w:rFonts w:ascii="Calibri" w:hAnsi="Calibri" w:cs="Calibri" w:eastAsia="Calibri"/>
                <w:b w:val="0"/>
                <w:i w:val="0"/>
                <w:sz w:val="18"/>
                <w:szCs w:val="18"/>
              </w:rPr>
              <w:t>Risk analysis, writing, ISO/IEC 27001, NIST CSF, PDPA.</w:t>
            </w:r>
          </w:p>
        </w:tc>
      </w:tr>
      <w:tr>
        <w:tc>
          <w:tcPr>
            <w:tcW w:type="dxa" w:w="2268"/>
          </w:tcPr>
          <w:p>
            <w:r/>
            <w:r>
              <w:rPr>
                <w:rFonts w:ascii="Calibri" w:hAnsi="Calibri" w:cs="Calibri" w:eastAsia="Calibri"/>
                <w:b w:val="0"/>
                <w:i w:val="0"/>
                <w:sz w:val="18"/>
                <w:szCs w:val="18"/>
              </w:rPr>
              <w:t>Qualifications</w:t>
            </w:r>
          </w:p>
        </w:tc>
        <w:tc>
          <w:tcPr>
            <w:tcW w:type="dxa" w:w="7087"/>
          </w:tcPr>
          <w:p>
            <w:r/>
            <w:r>
              <w:rPr>
                <w:rFonts w:ascii="Calibri" w:hAnsi="Calibri" w:cs="Calibri" w:eastAsia="Calibri"/>
                <w:b w:val="0"/>
                <w:i w:val="0"/>
                <w:sz w:val="18"/>
                <w:szCs w:val="18"/>
              </w:rPr>
              <w:t>2 or more years in audit, risk, or compliance; ISO/IEC 27001 Lead Implementer preferred.</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Map roles to the NICE Workforce Framework (NIST SP 800-181 Rev. 1) to define skills consistently.</w:t>
      </w:r>
    </w:p>
    <w:p>
      <w:pPr>
        <w:pStyle w:val="ListBullet"/>
        <w:spacing w:after="40"/>
      </w:pPr>
      <w:r>
        <w:rPr>
          <w:rFonts w:ascii="Calibri" w:hAnsi="Calibri" w:cs="Calibri" w:eastAsia="Calibri"/>
          <w:b w:val="0"/>
          <w:i w:val="0"/>
          <w:sz w:val="21"/>
          <w:szCs w:val="21"/>
        </w:rPr>
        <w:t>Include security responsibilities in non-security job descriptions, such as system administrators and developers.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Hiring a technical specialist into a management role without governance and stakeholder skills.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GV.RR-02: Cybersecurity roles, responsibilities, and authorities are established, communicated, and enforced</w:t>
            </w:r>
          </w:p>
          <w:p>
            <w:r>
              <w:rPr>
                <w:rFonts w:ascii="Calibri" w:hAnsi="Calibri" w:cs="Calibri" w:eastAsia="Calibri"/>
                <w:b w:val="0"/>
                <w:i w:val="0"/>
                <w:sz w:val="18"/>
                <w:szCs w:val="18"/>
              </w:rPr>
              <w:t>GV.RR-04: Cybersecurity is included in human resources practices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PS-9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Common practice; NICE Workforce Framework (NIST SP 800-181 Rev. 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GV-REG-003: Cybersecurity Roles, Responsibilities, and RACI Matrix</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GV-TPL-001  |  Cybersecurity Job Description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