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Vendor Security Assessment Questionnaire</w:t>
      </w:r>
    </w:p>
    <w:p>
      <w:pPr>
        <w:spacing w:after="80" w:before="0"/>
      </w:pPr>
      <w:r>
        <w:rPr>
          <w:rFonts w:ascii="Calibri" w:hAnsi="Calibri" w:cs="Calibri" w:eastAsia="Calibri"/>
          <w:b w:val="0"/>
          <w:i w:val="0"/>
          <w:color w:val="595959"/>
          <w:sz w:val="18"/>
          <w:szCs w:val="18"/>
        </w:rPr>
        <w:t>GV-FRM-006  |  Form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Vendor Security Assessment Questionnaire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15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15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5.19 and 5.21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5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15 June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questionnaire collects evidence of a supplier's security and privacy controls so that risk can be assessed before contract and at reassessment.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(GV-PRC-008)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Governance and certification</w:t>
            </w:r>
          </w:p>
        </w:tc>
        <w:tc>
          <w:tcPr>
            <w:tcW w:type="dxa" w:w="3628"/>
          </w:tcPr>
          <w:p>
            <w:r/>
            <w:r>
              <w:rPr>
                <w:rFonts w:ascii="Calibri" w:hAnsi="Calibri" w:cs="Calibri" w:eastAsia="Calibri"/>
                <w:b w:val="0"/>
                <w:i w:val="0"/>
                <w:sz w:val="18"/>
                <w:szCs w:val="18"/>
              </w:rPr>
              <w:t>Security policy, responsible person, ISO/IEC 27001 or SOC 2 scope and date.</w:t>
            </w:r>
          </w:p>
        </w:tc>
        <w:tc>
          <w:tcPr>
            <w:tcW w:type="dxa" w:w="2835"/>
          </w:tcPr>
          <w:p>
            <w:r/>
            <w:r>
              <w:rPr>
                <w:rFonts w:ascii="Calibri" w:hAnsi="Calibri" w:cs="Calibri" w:eastAsia="Calibri"/>
                <w:b w:val="0"/>
                <w:i w:val="0"/>
                <w:sz w:val="18"/>
                <w:szCs w:val="18"/>
              </w:rPr>
              <w:t>Security policy approved 2025; no ISO/IEC 27001 certificate; plans certification 2027</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Data protection</w:t>
            </w:r>
          </w:p>
        </w:tc>
        <w:tc>
          <w:tcPr>
            <w:tcW w:type="dxa" w:w="3628"/>
          </w:tcPr>
          <w:p>
            <w:r/>
            <w:r>
              <w:rPr>
                <w:rFonts w:ascii="Calibri" w:hAnsi="Calibri" w:cs="Calibri" w:eastAsia="Calibri"/>
                <w:b w:val="0"/>
                <w:i w:val="0"/>
                <w:sz w:val="18"/>
                <w:szCs w:val="18"/>
              </w:rPr>
              <w:t>Data location, encryption at rest and in transit, retention, deletion.</w:t>
            </w:r>
          </w:p>
        </w:tc>
        <w:tc>
          <w:tcPr>
            <w:tcW w:type="dxa" w:w="2835"/>
          </w:tcPr>
          <w:p>
            <w:r/>
            <w:r>
              <w:rPr>
                <w:rFonts w:ascii="Calibri" w:hAnsi="Calibri" w:cs="Calibri" w:eastAsia="Calibri"/>
                <w:b w:val="0"/>
                <w:i w:val="0"/>
                <w:sz w:val="18"/>
                <w:szCs w:val="18"/>
              </w:rPr>
              <w:t>Images stored on CMC premises only; vendor holds no copies; TLS 1.2 for remote sessions</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Access control</w:t>
            </w:r>
          </w:p>
        </w:tc>
        <w:tc>
          <w:tcPr>
            <w:tcW w:type="dxa" w:w="3628"/>
          </w:tcPr>
          <w:p>
            <w:r/>
            <w:r>
              <w:rPr>
                <w:rFonts w:ascii="Calibri" w:hAnsi="Calibri" w:cs="Calibri" w:eastAsia="Calibri"/>
                <w:b w:val="0"/>
                <w:i w:val="0"/>
                <w:sz w:val="18"/>
                <w:szCs w:val="18"/>
              </w:rPr>
              <w:t>MFA, privileged access management, access reviews for staff who access customer data.</w:t>
            </w:r>
          </w:p>
        </w:tc>
        <w:tc>
          <w:tcPr>
            <w:tcW w:type="dxa" w:w="2835"/>
          </w:tcPr>
          <w:p>
            <w:r/>
            <w:r>
              <w:rPr>
                <w:rFonts w:ascii="Calibri" w:hAnsi="Calibri" w:cs="Calibri" w:eastAsia="Calibri"/>
                <w:b w:val="0"/>
                <w:i w:val="0"/>
                <w:sz w:val="18"/>
                <w:szCs w:val="18"/>
              </w:rPr>
              <w:t>Engineers use named accounts; MFA through the CMC jump host from August 2026; no shared accounts allowed</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Vulnerability and patch management</w:t>
            </w:r>
          </w:p>
        </w:tc>
        <w:tc>
          <w:tcPr>
            <w:tcW w:type="dxa" w:w="3628"/>
          </w:tcPr>
          <w:p>
            <w:r/>
            <w:r>
              <w:rPr>
                <w:rFonts w:ascii="Calibri" w:hAnsi="Calibri" w:cs="Calibri" w:eastAsia="Calibri"/>
                <w:b w:val="0"/>
                <w:i w:val="0"/>
                <w:sz w:val="18"/>
                <w:szCs w:val="18"/>
              </w:rPr>
              <w:t>Scan frequency, patch timelines, penetration tests.</w:t>
            </w:r>
          </w:p>
        </w:tc>
        <w:tc>
          <w:tcPr>
            <w:tcW w:type="dxa" w:w="2835"/>
          </w:tcPr>
          <w:p>
            <w:r/>
            <w:r>
              <w:rPr>
                <w:rFonts w:ascii="Calibri" w:hAnsi="Calibri" w:cs="Calibri" w:eastAsia="Calibri"/>
                <w:b w:val="0"/>
                <w:i w:val="0"/>
                <w:sz w:val="18"/>
                <w:szCs w:val="18"/>
              </w:rPr>
              <w:t>Modality OS patches certified quarterly by the manufacturer; no customer-facing penetration test report</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Secure development</w:t>
            </w:r>
          </w:p>
        </w:tc>
        <w:tc>
          <w:tcPr>
            <w:tcW w:type="dxa" w:w="3628"/>
          </w:tcPr>
          <w:p>
            <w:r/>
            <w:r>
              <w:rPr>
                <w:rFonts w:ascii="Calibri" w:hAnsi="Calibri" w:cs="Calibri" w:eastAsia="Calibri"/>
                <w:b w:val="0"/>
                <w:i w:val="0"/>
                <w:sz w:val="18"/>
                <w:szCs w:val="18"/>
              </w:rPr>
              <w:t>Secure development practices, software bill of materials (SBOM) availability.</w:t>
            </w:r>
          </w:p>
        </w:tc>
        <w:tc>
          <w:tcPr>
            <w:tcW w:type="dxa" w:w="2835"/>
          </w:tcPr>
          <w:p>
            <w:r/>
            <w:r>
              <w:rPr>
                <w:rFonts w:ascii="Calibri" w:hAnsi="Calibri" w:cs="Calibri" w:eastAsia="Calibri"/>
                <w:b w:val="0"/>
                <w:i w:val="0"/>
                <w:sz w:val="18"/>
                <w:szCs w:val="18"/>
              </w:rPr>
              <w:t>SBOM available for the PACS application on request</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Logging and monitoring</w:t>
            </w:r>
          </w:p>
        </w:tc>
        <w:tc>
          <w:tcPr>
            <w:tcW w:type="dxa" w:w="3628"/>
          </w:tcPr>
          <w:p>
            <w:r/>
            <w:r>
              <w:rPr>
                <w:rFonts w:ascii="Calibri" w:hAnsi="Calibri" w:cs="Calibri" w:eastAsia="Calibri"/>
                <w:b w:val="0"/>
                <w:i w:val="0"/>
                <w:sz w:val="18"/>
                <w:szCs w:val="18"/>
              </w:rPr>
              <w:t>Log retention and 24x7 monitoring.</w:t>
            </w:r>
          </w:p>
        </w:tc>
        <w:tc>
          <w:tcPr>
            <w:tcW w:type="dxa" w:w="2835"/>
          </w:tcPr>
          <w:p>
            <w:r/>
            <w:r>
              <w:rPr>
                <w:rFonts w:ascii="Calibri" w:hAnsi="Calibri" w:cs="Calibri" w:eastAsia="Calibri"/>
                <w:b w:val="0"/>
                <w:i w:val="0"/>
                <w:sz w:val="18"/>
                <w:szCs w:val="18"/>
              </w:rPr>
              <w:t>Vendor logs remote sessions; CMC records sessions on the jump host for 180 days</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Incident response</w:t>
            </w:r>
          </w:p>
        </w:tc>
        <w:tc>
          <w:tcPr>
            <w:tcW w:type="dxa" w:w="3628"/>
          </w:tcPr>
          <w:p>
            <w:r/>
            <w:r>
              <w:rPr>
                <w:rFonts w:ascii="Calibri" w:hAnsi="Calibri" w:cs="Calibri" w:eastAsia="Calibri"/>
                <w:b w:val="0"/>
                <w:i w:val="0"/>
                <w:sz w:val="18"/>
                <w:szCs w:val="18"/>
              </w:rPr>
              <w:t>Notification time to customers, contact point, history of breaches in the last 3 years.</w:t>
            </w:r>
          </w:p>
        </w:tc>
        <w:tc>
          <w:tcPr>
            <w:tcW w:type="dxa" w:w="2835"/>
          </w:tcPr>
          <w:p>
            <w:r/>
            <w:r>
              <w:rPr>
                <w:rFonts w:ascii="Calibri" w:hAnsi="Calibri" w:cs="Calibri" w:eastAsia="Calibri"/>
                <w:b w:val="0"/>
                <w:i w:val="0"/>
                <w:sz w:val="18"/>
                <w:szCs w:val="18"/>
              </w:rPr>
              <w:t>Commits to notify CMC within 24 hours; no reported breaches in 3 years</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Business continuity</w:t>
            </w:r>
          </w:p>
        </w:tc>
        <w:tc>
          <w:tcPr>
            <w:tcW w:type="dxa" w:w="3628"/>
          </w:tcPr>
          <w:p>
            <w:r/>
            <w:r>
              <w:rPr>
                <w:rFonts w:ascii="Calibri" w:hAnsi="Calibri" w:cs="Calibri" w:eastAsia="Calibri"/>
                <w:b w:val="0"/>
                <w:i w:val="0"/>
                <w:sz w:val="18"/>
                <w:szCs w:val="18"/>
              </w:rPr>
              <w:t>Recovery time objective (RTO), recovery point objective (RPO), and last DR test date.</w:t>
            </w:r>
          </w:p>
        </w:tc>
        <w:tc>
          <w:tcPr>
            <w:tcW w:type="dxa" w:w="2835"/>
          </w:tcPr>
          <w:p>
            <w:r/>
            <w:r>
              <w:rPr>
                <w:rFonts w:ascii="Calibri" w:hAnsi="Calibri" w:cs="Calibri" w:eastAsia="Calibri"/>
                <w:b w:val="0"/>
                <w:i w:val="0"/>
                <w:sz w:val="18"/>
                <w:szCs w:val="18"/>
              </w:rPr>
              <w:t>Vendor support RTO 8 hours; CMC DR test of PACS completed May 2026</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Sub-processors</w:t>
            </w:r>
          </w:p>
        </w:tc>
        <w:tc>
          <w:tcPr>
            <w:tcW w:type="dxa" w:w="3628"/>
          </w:tcPr>
          <w:p>
            <w:r/>
            <w:r>
              <w:rPr>
                <w:rFonts w:ascii="Calibri" w:hAnsi="Calibri" w:cs="Calibri" w:eastAsia="Calibri"/>
                <w:b w:val="0"/>
                <w:i w:val="0"/>
                <w:sz w:val="18"/>
                <w:szCs w:val="18"/>
              </w:rPr>
              <w:t>List and locations.</w:t>
            </w:r>
          </w:p>
        </w:tc>
        <w:tc>
          <w:tcPr>
            <w:tcW w:type="dxa" w:w="2835"/>
          </w:tcPr>
          <w:p>
            <w:r/>
            <w:r>
              <w:rPr>
                <w:rFonts w:ascii="Calibri" w:hAnsi="Calibri" w:cs="Calibri" w:eastAsia="Calibri"/>
                <w:b w:val="0"/>
                <w:i w:val="0"/>
                <w:sz w:val="18"/>
                <w:szCs w:val="18"/>
              </w:rPr>
              <w:t>Regional support center in Singapore (remote support only)</w:t>
            </w:r>
          </w:p>
        </w:tc>
      </w:tr>
      <w:tr>
        <w:tc>
          <w:tcPr>
            <w:tcW w:type="dxa" w:w="624"/>
          </w:tcPr>
          <w:p>
            <w:r/>
            <w:r>
              <w:rPr>
                <w:rFonts w:ascii="Calibri" w:hAnsi="Calibri" w:cs="Calibri" w:eastAsia="Calibri"/>
                <w:b w:val="0"/>
                <w:i w:val="0"/>
                <w:sz w:val="18"/>
                <w:szCs w:val="18"/>
              </w:rPr>
              <w:t>10</w:t>
            </w:r>
          </w:p>
        </w:tc>
        <w:tc>
          <w:tcPr>
            <w:tcW w:type="dxa" w:w="2268"/>
          </w:tcPr>
          <w:p>
            <w:r/>
            <w:r>
              <w:rPr>
                <w:rFonts w:ascii="Calibri" w:hAnsi="Calibri" w:cs="Calibri" w:eastAsia="Calibri"/>
                <w:b w:val="0"/>
                <w:i w:val="0"/>
                <w:sz w:val="18"/>
                <w:szCs w:val="18"/>
              </w:rPr>
              <w:t>Staff security</w:t>
            </w:r>
          </w:p>
        </w:tc>
        <w:tc>
          <w:tcPr>
            <w:tcW w:type="dxa" w:w="3628"/>
          </w:tcPr>
          <w:p>
            <w:r/>
            <w:r>
              <w:rPr>
                <w:rFonts w:ascii="Calibri" w:hAnsi="Calibri" w:cs="Calibri" w:eastAsia="Calibri"/>
                <w:b w:val="0"/>
                <w:i w:val="0"/>
                <w:sz w:val="18"/>
                <w:szCs w:val="18"/>
              </w:rPr>
              <w:t>Screening, NDA, training.</w:t>
            </w:r>
          </w:p>
        </w:tc>
        <w:tc>
          <w:tcPr>
            <w:tcW w:type="dxa" w:w="2835"/>
          </w:tcPr>
          <w:p>
            <w:r/>
            <w:r>
              <w:rPr>
                <w:rFonts w:ascii="Calibri" w:hAnsi="Calibri" w:cs="Calibri" w:eastAsia="Calibri"/>
                <w:b w:val="0"/>
                <w:i w:val="0"/>
                <w:sz w:val="18"/>
                <w:szCs w:val="18"/>
              </w:rPr>
              <w:t>Engineers sign GV-FRM-002; annual security training</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Reviewer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Ask for evidence (reports, screenshots, certificates) rather than yes or no answers for Tier 1 suppliers.</w:t>
      </w:r>
    </w:p>
    <w:p>
      <w:pPr>
        <w:pStyle w:val="ListBullet"/>
        <w:spacing w:after="40"/>
      </w:pPr>
      <w:r>
        <w:rPr>
          <w:rFonts w:ascii="Calibri" w:hAnsi="Calibri" w:cs="Calibri" w:eastAsia="Calibri"/>
          <w:b w:val="0"/>
          <w:i w:val="0"/>
          <w:sz w:val="21"/>
          <w:szCs w:val="21"/>
        </w:rPr>
        <w:t>Use a recognized question set, such as the Shared Assessments SIG Lite or the Cloud Security Alliance CAIQ, to reduce supplier effort.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Sending a 300-question form to a low-risk supplier.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GV.SC-06: Planning and due diligence are performed to reduce risks before entering supplier relationships</w:t>
            </w:r>
          </w:p>
          <w:p>
            <w:r>
              <w:rPr>
                <w:rFonts w:ascii="Calibri" w:hAnsi="Calibri" w:cs="Calibri" w:eastAsia="Calibri"/>
                <w:b w:val="0"/>
                <w:i w:val="0"/>
                <w:sz w:val="18"/>
                <w:szCs w:val="18"/>
              </w:rPr>
              <w:t>GV.SC-07: Supplier risks are understood, recorded, prioritized, assessed, responded to, and monitored</w:t>
            </w:r>
          </w:p>
          <w:p>
            <w:r>
              <w:rPr>
                <w:rFonts w:ascii="Calibri" w:hAnsi="Calibri" w:cs="Calibri" w:eastAsia="Calibri"/>
                <w:b w:val="0"/>
                <w:i w:val="0"/>
                <w:sz w:val="18"/>
                <w:szCs w:val="18"/>
              </w:rPr>
              <w:t>ID.RA-10: Critical suppliers are assessed prior to acquisition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A.5.19, Annex A.5.21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SR-6, SA-9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5.19 and 5.21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GV-PRC-008: Third-Party Risk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GV-FRM-006  |  Vendor Security Assessment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