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Third-Party and Supply Chain Security Policy</w:t>
      </w:r>
    </w:p>
    <w:p>
      <w:pPr>
        <w:spacing w:after="80" w:before="0"/>
      </w:pPr>
      <w:r>
        <w:rPr>
          <w:rFonts w:ascii="Calibri" w:hAnsi="Calibri" w:cs="Calibri" w:eastAsia="Calibri"/>
          <w:b w:val="0"/>
          <w:i w:val="0"/>
          <w:color w:val="595959"/>
          <w:sz w:val="18"/>
          <w:szCs w:val="18"/>
        </w:rPr>
        <w:t>GV-POL-006  |  Policy  |  Cybersecurity Supply Chain Risk Management (GV.SC)</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GV-POL-006</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Third-Party and Supply Chain Security Policy</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Executive Officer (CEO)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9 April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9 April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1: Policy</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Policy</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Govern (GV)</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Cybersecurity Supply Chain Risk Management (GV.SC)</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5.19; NIST SP 800-161 Rev. 1</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Process, Third Party</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Essential</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11 July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Executive Officer (CEO)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9 April 2026</w:t>
            </w:r>
          </w:p>
        </w:tc>
        <w:tc>
          <w:tcPr>
            <w:tcW w:type="dxa" w:w="3742"/>
          </w:tcPr>
          <w:p>
            <w:r/>
            <w:r>
              <w:rPr>
                <w:rFonts w:ascii="Calibri" w:hAnsi="Calibri" w:cs="Calibri" w:eastAsia="Calibri"/>
                <w:b w:val="0"/>
                <w:i w:val="0"/>
                <w:sz w:val="18"/>
                <w:szCs w:val="18"/>
              </w:rPr>
              <w:t>Updated after the 2026 Management Review (MR-2026-01) to reflect the revised budget and ISSC decisions.</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Executive Officer (CEO)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policy sets how Chaophraya Medical Center (CMC) manages cybersecurity risk from suppliers, service providers, and technology products across their life cycle (GV.SC-01).</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policy applies to all employees, contractors, temporary staff, and third parties who access Chaophraya Medical Center (CMC) information or information systems, at all sites, including cloud services operated on behalf of Chaophraya Medical Center (CMC).</w:t>
      </w:r>
    </w:p>
    <w:p>
      <w:pPr>
        <w:pStyle w:val="Heading2"/>
        <w:keepNext/>
        <w:spacing w:before="120" w:after="80"/>
      </w:pPr>
      <w:r>
        <w:rPr>
          <w:rFonts w:ascii="Calibri" w:hAnsi="Calibri" w:cs="Calibri" w:eastAsia="Calibri"/>
          <w:b/>
          <w:i w:val="0"/>
          <w:color w:val="1F3864"/>
          <w:sz w:val="24"/>
          <w:szCs w:val="24"/>
          <w:bCs/>
        </w:rPr>
        <w:t>4.3 Policy Statements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the mandatory principles of the supply chain risk program (GV.SC-01 to GV.SC-03).</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All suppliers that access, process, host, or support Chaophraya Medical Center (CMC) information or systems are risk-tiered before contract and reviewed at a frequency based on tier.</w:t>
      </w:r>
    </w:p>
    <w:p>
      <w:pPr>
        <w:pStyle w:val="ListBullet"/>
        <w:spacing w:after="40"/>
      </w:pPr>
      <w:r>
        <w:rPr>
          <w:rFonts w:ascii="Calibri" w:hAnsi="Calibri" w:cs="Calibri" w:eastAsia="Calibri"/>
          <w:b w:val="0"/>
          <w:i w:val="0"/>
          <w:sz w:val="21"/>
          <w:szCs w:val="21"/>
        </w:rPr>
        <w:t>Security requirements are included in contracts in proportion to supplier tier (GV-STD-002).</w:t>
      </w:r>
    </w:p>
    <w:p>
      <w:pPr>
        <w:pStyle w:val="ListBullet"/>
        <w:spacing w:after="40"/>
      </w:pPr>
      <w:r>
        <w:rPr>
          <w:rFonts w:ascii="Calibri" w:hAnsi="Calibri" w:cs="Calibri" w:eastAsia="Calibri"/>
          <w:b w:val="0"/>
          <w:i w:val="0"/>
          <w:sz w:val="21"/>
          <w:szCs w:val="21"/>
        </w:rPr>
        <w:t>Supplier risks are recorded in the risk register and reported with other enterprise risks.</w:t>
      </w:r>
    </w:p>
    <w:p>
      <w:pPr>
        <w:pStyle w:val="ListBullet"/>
        <w:spacing w:after="40"/>
      </w:pPr>
      <w:r>
        <w:rPr>
          <w:rFonts w:ascii="Calibri" w:hAnsi="Calibri" w:cs="Calibri" w:eastAsia="Calibri"/>
          <w:b w:val="0"/>
          <w:i w:val="0"/>
          <w:sz w:val="21"/>
          <w:szCs w:val="21"/>
        </w:rPr>
        <w:t>Suppliers are included in incident response, business continuity, and exercises where they support critical services (GV.SC-08).</w:t>
      </w:r>
    </w:p>
    <w:p>
      <w:pPr>
        <w:pStyle w:val="ListBullet"/>
        <w:spacing w:after="40"/>
      </w:pPr>
      <w:r>
        <w:rPr>
          <w:rFonts w:ascii="Calibri" w:hAnsi="Calibri" w:cs="Calibri" w:eastAsia="Calibri"/>
          <w:b w:val="0"/>
          <w:i w:val="0"/>
          <w:sz w:val="21"/>
          <w:szCs w:val="21"/>
        </w:rPr>
        <w:t>Access and data are removed when the relationship ends (GV.SC-10).</w:t>
      </w:r>
    </w:p>
    <w:p>
      <w:pPr>
        <w:pStyle w:val="Heading2"/>
        <w:keepNext/>
        <w:spacing w:before="120" w:after="80"/>
      </w:pPr>
      <w:r>
        <w:rPr>
          <w:rFonts w:ascii="Calibri" w:hAnsi="Calibri" w:cs="Calibri" w:eastAsia="Calibri"/>
          <w:b/>
          <w:i w:val="0"/>
          <w:color w:val="1F3864"/>
          <w:sz w:val="24"/>
          <w:szCs w:val="24"/>
          <w:bCs/>
        </w:rPr>
        <w:t>4.4 Roles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roles of procurement, business owners, security, legal, and suppliers (GV.SC-02).</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2268"/>
        <w:gridCol w:w="7087"/>
      </w:tblGrid>
      <w:tr>
        <w:trPr>
          <w:tblHeader w:val="true"/>
        </w:trPr>
        <w:tc>
          <w:tcPr>
            <w:tcW w:type="dxa" w:w="2268"/>
            <w:shd w:val="clear" w:color="auto" w:fill="1F3864"/>
          </w:tcPr>
          <w:p>
            <w:r/>
            <w:r>
              <w:rPr>
                <w:rFonts w:ascii="Calibri" w:hAnsi="Calibri" w:cs="Calibri" w:eastAsia="Calibri"/>
                <w:b/>
                <w:i w:val="0"/>
                <w:color w:val="FFFFFF"/>
                <w:sz w:val="18"/>
                <w:szCs w:val="18"/>
                <w:bCs/>
              </w:rPr>
              <w:t>Role</w:t>
            </w:r>
          </w:p>
        </w:tc>
        <w:tc>
          <w:tcPr>
            <w:tcW w:type="dxa" w:w="7087"/>
            <w:shd w:val="clear" w:color="auto" w:fill="1F3864"/>
          </w:tcPr>
          <w:p>
            <w:r/>
            <w:r>
              <w:rPr>
                <w:rFonts w:ascii="Calibri" w:hAnsi="Calibri" w:cs="Calibri" w:eastAsia="Calibri"/>
                <w:b/>
                <w:i w:val="0"/>
                <w:color w:val="FFFFFF"/>
                <w:sz w:val="18"/>
                <w:szCs w:val="18"/>
                <w:bCs/>
              </w:rPr>
              <w:t>Responsibility</w:t>
            </w:r>
          </w:p>
        </w:tc>
      </w:tr>
      <w:tr>
        <w:tc>
          <w:tcPr>
            <w:tcW w:type="dxa" w:w="2268"/>
          </w:tcPr>
          <w:p>
            <w:r/>
            <w:r>
              <w:rPr>
                <w:rFonts w:ascii="Calibri" w:hAnsi="Calibri" w:cs="Calibri" w:eastAsia="Calibri"/>
                <w:b w:val="0"/>
                <w:i w:val="0"/>
                <w:sz w:val="18"/>
                <w:szCs w:val="18"/>
              </w:rPr>
              <w:t>Business owner</w:t>
            </w:r>
          </w:p>
        </w:tc>
        <w:tc>
          <w:tcPr>
            <w:tcW w:type="dxa" w:w="7087"/>
          </w:tcPr>
          <w:p>
            <w:r/>
            <w:r>
              <w:rPr>
                <w:rFonts w:ascii="Calibri" w:hAnsi="Calibri" w:cs="Calibri" w:eastAsia="Calibri"/>
                <w:b w:val="0"/>
                <w:i w:val="0"/>
                <w:sz w:val="18"/>
                <w:szCs w:val="18"/>
              </w:rPr>
              <w:t>Owns the supplier relationship and its risk</w:t>
            </w:r>
          </w:p>
        </w:tc>
      </w:tr>
      <w:tr>
        <w:tc>
          <w:tcPr>
            <w:tcW w:type="dxa" w:w="2268"/>
          </w:tcPr>
          <w:p>
            <w:r/>
            <w:r>
              <w:rPr>
                <w:rFonts w:ascii="Calibri" w:hAnsi="Calibri" w:cs="Calibri" w:eastAsia="Calibri"/>
                <w:b w:val="0"/>
                <w:i w:val="0"/>
                <w:sz w:val="18"/>
                <w:szCs w:val="18"/>
              </w:rPr>
              <w:t>Procurement Manager</w:t>
            </w:r>
          </w:p>
        </w:tc>
        <w:tc>
          <w:tcPr>
            <w:tcW w:type="dxa" w:w="7087"/>
          </w:tcPr>
          <w:p>
            <w:r/>
            <w:r>
              <w:rPr>
                <w:rFonts w:ascii="Calibri" w:hAnsi="Calibri" w:cs="Calibri" w:eastAsia="Calibri"/>
                <w:b w:val="0"/>
                <w:i w:val="0"/>
                <w:sz w:val="18"/>
                <w:szCs w:val="18"/>
              </w:rPr>
              <w:t>Runs sourcing, keeps the supplier register, ensures assessment before contract</w:t>
            </w:r>
          </w:p>
        </w:tc>
      </w:tr>
      <w:tr>
        <w:tc>
          <w:tcPr>
            <w:tcW w:type="dxa" w:w="2268"/>
          </w:tcPr>
          <w:p>
            <w:r/>
            <w:r>
              <w:rPr>
                <w:rFonts w:ascii="Calibri" w:hAnsi="Calibri" w:cs="Calibri" w:eastAsia="Calibri"/>
                <w:b w:val="0"/>
                <w:i w:val="0"/>
                <w:sz w:val="18"/>
                <w:szCs w:val="18"/>
              </w:rPr>
              <w:t>Security Manager</w:t>
            </w:r>
          </w:p>
        </w:tc>
        <w:tc>
          <w:tcPr>
            <w:tcW w:type="dxa" w:w="7087"/>
          </w:tcPr>
          <w:p>
            <w:r/>
            <w:r>
              <w:rPr>
                <w:rFonts w:ascii="Calibri" w:hAnsi="Calibri" w:cs="Calibri" w:eastAsia="Calibri"/>
                <w:b w:val="0"/>
                <w:i w:val="0"/>
                <w:sz w:val="18"/>
                <w:szCs w:val="18"/>
              </w:rPr>
              <w:t>Sets requirements, assesses security risk, monitors high-tier suppliers</w:t>
            </w:r>
          </w:p>
        </w:tc>
      </w:tr>
      <w:tr>
        <w:tc>
          <w:tcPr>
            <w:tcW w:type="dxa" w:w="2268"/>
          </w:tcPr>
          <w:p>
            <w:r/>
            <w:r>
              <w:rPr>
                <w:rFonts w:ascii="Calibri" w:hAnsi="Calibri" w:cs="Calibri" w:eastAsia="Calibri"/>
                <w:b w:val="0"/>
                <w:i w:val="0"/>
                <w:sz w:val="18"/>
                <w:szCs w:val="18"/>
              </w:rPr>
              <w:t>Legal Counsel</w:t>
            </w:r>
          </w:p>
        </w:tc>
        <w:tc>
          <w:tcPr>
            <w:tcW w:type="dxa" w:w="7087"/>
          </w:tcPr>
          <w:p>
            <w:r/>
            <w:r>
              <w:rPr>
                <w:rFonts w:ascii="Calibri" w:hAnsi="Calibri" w:cs="Calibri" w:eastAsia="Calibri"/>
                <w:b w:val="0"/>
                <w:i w:val="0"/>
                <w:sz w:val="18"/>
                <w:szCs w:val="18"/>
              </w:rPr>
              <w:t>Includes security and data protection clauses</w:t>
            </w:r>
          </w:p>
        </w:tc>
      </w:tr>
      <w:tr>
        <w:tc>
          <w:tcPr>
            <w:tcW w:type="dxa" w:w="2268"/>
          </w:tcPr>
          <w:p>
            <w:r/>
            <w:r>
              <w:rPr>
                <w:rFonts w:ascii="Calibri" w:hAnsi="Calibri" w:cs="Calibri" w:eastAsia="Calibri"/>
                <w:b w:val="0"/>
                <w:i w:val="0"/>
                <w:sz w:val="18"/>
                <w:szCs w:val="18"/>
              </w:rPr>
              <w:t>Data Protection Officer (DPO)</w:t>
            </w:r>
          </w:p>
        </w:tc>
        <w:tc>
          <w:tcPr>
            <w:tcW w:type="dxa" w:w="7087"/>
          </w:tcPr>
          <w:p>
            <w:r/>
            <w:r>
              <w:rPr>
                <w:rFonts w:ascii="Calibri" w:hAnsi="Calibri" w:cs="Calibri" w:eastAsia="Calibri"/>
                <w:b w:val="0"/>
                <w:i w:val="0"/>
                <w:sz w:val="18"/>
                <w:szCs w:val="18"/>
              </w:rPr>
              <w:t>Reviews processing of personal data and DPAs</w:t>
            </w:r>
          </w:p>
        </w:tc>
      </w:tr>
      <w:tr>
        <w:tc>
          <w:tcPr>
            <w:tcW w:type="dxa" w:w="2268"/>
          </w:tcPr>
          <w:p>
            <w:r/>
            <w:r>
              <w:rPr>
                <w:rFonts w:ascii="Calibri" w:hAnsi="Calibri" w:cs="Calibri" w:eastAsia="Calibri"/>
                <w:b w:val="0"/>
                <w:i w:val="0"/>
                <w:sz w:val="18"/>
                <w:szCs w:val="18"/>
              </w:rPr>
              <w:t>Supplier</w:t>
            </w:r>
          </w:p>
        </w:tc>
        <w:tc>
          <w:tcPr>
            <w:tcW w:type="dxa" w:w="7087"/>
          </w:tcPr>
          <w:p>
            <w:r/>
            <w:r>
              <w:rPr>
                <w:rFonts w:ascii="Calibri" w:hAnsi="Calibri" w:cs="Calibri" w:eastAsia="Calibri"/>
                <w:b w:val="0"/>
                <w:i w:val="0"/>
                <w:sz w:val="18"/>
                <w:szCs w:val="18"/>
              </w:rPr>
              <w:t>Meets contract requirements and reports incidents</w:t>
            </w:r>
          </w:p>
        </w:tc>
      </w:tr>
    </w:tbl>
    <w:p>
      <w:pPr>
        <w:spacing w:after="40"/>
      </w:pPr>
    </w:p>
    <w:p>
      <w:pPr>
        <w:pStyle w:val="Heading2"/>
        <w:keepNext/>
        <w:spacing w:before="120" w:after="80"/>
      </w:pPr>
      <w:r>
        <w:rPr>
          <w:rFonts w:ascii="Calibri" w:hAnsi="Calibri" w:cs="Calibri" w:eastAsia="Calibri"/>
          <w:b/>
          <w:i w:val="0"/>
          <w:color w:val="1F3864"/>
          <w:sz w:val="24"/>
          <w:szCs w:val="24"/>
          <w:bCs/>
        </w:rPr>
        <w:t>4.5 Compliance and Exceptions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that compliance is mandatory, how compliance is verified, how exceptions are requested, and the consequence of violation.</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Compliance with this policy is mandatory for everyone in scope.</w:t>
      </w:r>
    </w:p>
    <w:p>
      <w:pPr>
        <w:pStyle w:val="ListBullet"/>
        <w:spacing w:after="40"/>
      </w:pPr>
      <w:r>
        <w:rPr>
          <w:rFonts w:ascii="Calibri" w:hAnsi="Calibri" w:cs="Calibri" w:eastAsia="Calibri"/>
          <w:b w:val="0"/>
          <w:i w:val="0"/>
          <w:sz w:val="21"/>
          <w:szCs w:val="21"/>
        </w:rPr>
        <w:t>The Security Manager verifies compliance through periodic reviews, technical checks, and internal audit (GV-PRC-007).</w:t>
      </w:r>
    </w:p>
    <w:p>
      <w:pPr>
        <w:pStyle w:val="ListBullet"/>
        <w:spacing w:after="40"/>
      </w:pPr>
      <w:r>
        <w:rPr>
          <w:rFonts w:ascii="Calibri" w:hAnsi="Calibri" w:cs="Calibri" w:eastAsia="Calibri"/>
          <w:b w:val="0"/>
          <w:i w:val="0"/>
          <w:sz w:val="21"/>
          <w:szCs w:val="21"/>
        </w:rPr>
        <w:t>Requests for deviation follow the Policy Exception Management Procedure (GV-PRC-003). No exception is valid without written approval and an expiry date.</w:t>
      </w:r>
    </w:p>
    <w:p>
      <w:pPr>
        <w:pStyle w:val="ListBullet"/>
        <w:spacing w:after="40"/>
      </w:pPr>
      <w:r>
        <w:rPr>
          <w:rFonts w:ascii="Calibri" w:hAnsi="Calibri" w:cs="Calibri" w:eastAsia="Calibri"/>
          <w:b w:val="0"/>
          <w:i w:val="0"/>
          <w:sz w:val="21"/>
          <w:szCs w:val="21"/>
        </w:rPr>
        <w:t>Violations may result in disciplinary action under the Human Resources Security Standard (GV-STD-001) and applicable law.</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Start with the 10 to 20 suppliers that matter most rather than assessing every vendor equally.</w:t>
      </w:r>
    </w:p>
    <w:p>
      <w:pPr>
        <w:pStyle w:val="ListBullet"/>
        <w:spacing w:after="40"/>
      </w:pPr>
      <w:r>
        <w:rPr>
          <w:rFonts w:ascii="Calibri" w:hAnsi="Calibri" w:cs="Calibri" w:eastAsia="Calibri"/>
          <w:b w:val="0"/>
          <w:i w:val="0"/>
          <w:sz w:val="21"/>
          <w:szCs w:val="21"/>
        </w:rPr>
        <w:t>Embed the security step in the procurement workflow so it cannot be skipped.</w:t>
      </w:r>
    </w:p>
    <w:p>
      <w:pPr>
        <w:pStyle w:val="ListBullet"/>
        <w:spacing w:after="40"/>
      </w:pPr>
      <w:r>
        <w:rPr>
          <w:rFonts w:ascii="Calibri" w:hAnsi="Calibri" w:cs="Calibri" w:eastAsia="Calibri"/>
          <w:b w:val="0"/>
          <w:i w:val="0"/>
          <w:sz w:val="21"/>
          <w:szCs w:val="21"/>
        </w:rPr>
        <w:t>Use NIST SP 800-161 Rev. 1 for product and software supply chain practices.</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Assessing vendors only at onboarding and never again.</w:t>
      </w:r>
    </w:p>
    <w:p>
      <w:pPr>
        <w:pStyle w:val="ListBullet"/>
        <w:spacing w:after="40"/>
      </w:pPr>
      <w:r>
        <w:rPr>
          <w:rFonts w:ascii="Calibri" w:hAnsi="Calibri" w:cs="Calibri" w:eastAsia="Calibri"/>
          <w:b w:val="0"/>
          <w:i w:val="0"/>
          <w:sz w:val="21"/>
          <w:szCs w:val="21"/>
        </w:rPr>
        <w:t>Letting business units sign SaaS subscriptions with a credit card, bypassing procurement and security.</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GV.SC-01: A cybersecurity supply chain risk management program, strategy, objectives, policies, and processes are established</w:t>
            </w:r>
          </w:p>
          <w:p>
            <w:r>
              <w:rPr>
                <w:rFonts w:ascii="Calibri" w:hAnsi="Calibri" w:cs="Calibri" w:eastAsia="Calibri"/>
                <w:b w:val="0"/>
                <w:i w:val="0"/>
                <w:sz w:val="18"/>
                <w:szCs w:val="18"/>
              </w:rPr>
              <w:t>GV.SC-02: Cybersecurity roles for suppliers, customers, and partners are established and coordinated</w:t>
            </w:r>
          </w:p>
          <w:p>
            <w:r>
              <w:rPr>
                <w:rFonts w:ascii="Calibri" w:hAnsi="Calibri" w:cs="Calibri" w:eastAsia="Calibri"/>
                <w:b w:val="0"/>
                <w:i w:val="0"/>
                <w:sz w:val="18"/>
                <w:szCs w:val="18"/>
              </w:rPr>
              <w:t>GV.SC-03: Supply chain risk management is integrated into cybersecurity and enterprise risk management</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A.5.19, Annex A.5.21</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SR-1, SA-9</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5.19; NIST SP 800-161 Rev. 1</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GV-POL-001: Information Security Policy</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GV-PRC-008: Third-Party Risk Management Procedure</w:t>
            </w:r>
          </w:p>
          <w:p>
            <w:r>
              <w:rPr>
                <w:rFonts w:ascii="Calibri" w:hAnsi="Calibri" w:cs="Calibri" w:eastAsia="Calibri"/>
                <w:b w:val="0"/>
                <w:i w:val="0"/>
                <w:sz w:val="18"/>
                <w:szCs w:val="18"/>
              </w:rPr>
              <w:t>GV-STD-002: Supplier Security Requirements Standard</w:t>
            </w:r>
          </w:p>
          <w:p>
            <w:r>
              <w:rPr>
                <w:rFonts w:ascii="Calibri" w:hAnsi="Calibri" w:cs="Calibri" w:eastAsia="Calibri"/>
                <w:b w:val="0"/>
                <w:i w:val="0"/>
                <w:sz w:val="18"/>
                <w:szCs w:val="18"/>
              </w:rPr>
              <w:t>GV-STD-003: Secure Acquisition Standard</w:t>
            </w:r>
          </w:p>
          <w:p>
            <w:r>
              <w:rPr>
                <w:rFonts w:ascii="Calibri" w:hAnsi="Calibri" w:cs="Calibri" w:eastAsia="Calibri"/>
                <w:b w:val="0"/>
                <w:i w:val="0"/>
                <w:sz w:val="18"/>
                <w:szCs w:val="18"/>
              </w:rPr>
              <w:t>PR-STD-014: Cloud Security Standard</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GV-POL-006  |  Third-Party and Supply Chain Security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