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Third-Party Risk Management Procedure</w:t>
      </w:r>
    </w:p>
    <w:p>
      <w:pPr>
        <w:spacing w:after="80" w:before="0"/>
      </w:pPr>
      <w:r>
        <w:rPr>
          <w:rFonts w:ascii="Calibri" w:hAnsi="Calibri" w:cs="Calibri" w:eastAsia="Calibri"/>
          <w:b w:val="0"/>
          <w:i w:val="0"/>
          <w:color w:val="595959"/>
          <w:sz w:val="18"/>
          <w:szCs w:val="18"/>
        </w:rPr>
        <w:t>GV-PRC-008  |  Procedure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GV-PRC-008</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Third-Party Risk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20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20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5.19 and 5.22; NIST SP 800-161 Rev.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18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20 July 2026</w:t>
            </w:r>
          </w:p>
        </w:tc>
        <w:tc>
          <w:tcPr>
            <w:tcW w:type="dxa" w:w="3742"/>
          </w:tcPr>
          <w:p>
            <w:r/>
            <w:r>
              <w:rPr>
                <w:rFonts w:ascii="Calibri" w:hAnsi="Calibri" w:cs="Calibri" w:eastAsia="Calibri"/>
                <w:b w:val="0"/>
                <w:i w:val="0"/>
                <w:sz w:val="18"/>
                <w:szCs w:val="18"/>
              </w:rPr>
              <w:t>Updated in August 2026 after the PACS vendor remote access issue to require Tier 1 vendors to use the CMC jump host with session recording.</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suppliers are tiered, assessed before contract, monitored during the relationship, and offboarded, so that supplier risk stays within appetite.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Supplier Tiering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tier criteria and the assurance required for each tier (GV.SC-04).</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3118"/>
        <w:gridCol w:w="3118"/>
        <w:gridCol w:w="1417"/>
      </w:tblGrid>
      <w:tr>
        <w:trPr>
          <w:tblHeader w:val="true"/>
        </w:trPr>
        <w:tc>
          <w:tcPr>
            <w:tcW w:type="dxa" w:w="1701"/>
            <w:shd w:val="clear" w:color="auto" w:fill="1F3864"/>
          </w:tcPr>
          <w:p>
            <w:r/>
            <w:r>
              <w:rPr>
                <w:rFonts w:ascii="Calibri" w:hAnsi="Calibri" w:cs="Calibri" w:eastAsia="Calibri"/>
                <w:b/>
                <w:i w:val="0"/>
                <w:color w:val="FFFFFF"/>
                <w:sz w:val="18"/>
                <w:szCs w:val="18"/>
                <w:bCs/>
              </w:rPr>
              <w:t>Tier</w:t>
            </w:r>
          </w:p>
        </w:tc>
        <w:tc>
          <w:tcPr>
            <w:tcW w:type="dxa" w:w="3118"/>
            <w:shd w:val="clear" w:color="auto" w:fill="1F3864"/>
          </w:tcPr>
          <w:p>
            <w:r/>
            <w:r>
              <w:rPr>
                <w:rFonts w:ascii="Calibri" w:hAnsi="Calibri" w:cs="Calibri" w:eastAsia="Calibri"/>
                <w:b/>
                <w:i w:val="0"/>
                <w:color w:val="FFFFFF"/>
                <w:sz w:val="18"/>
                <w:szCs w:val="18"/>
                <w:bCs/>
              </w:rPr>
              <w:t>Criteria</w:t>
            </w:r>
          </w:p>
        </w:tc>
        <w:tc>
          <w:tcPr>
            <w:tcW w:type="dxa" w:w="3118"/>
            <w:shd w:val="clear" w:color="auto" w:fill="1F3864"/>
          </w:tcPr>
          <w:p>
            <w:r/>
            <w:r>
              <w:rPr>
                <w:rFonts w:ascii="Calibri" w:hAnsi="Calibri" w:cs="Calibri" w:eastAsia="Calibri"/>
                <w:b/>
                <w:i w:val="0"/>
                <w:color w:val="FFFFFF"/>
                <w:sz w:val="18"/>
                <w:szCs w:val="18"/>
                <w:bCs/>
              </w:rPr>
              <w:t>Assessment</w:t>
            </w:r>
          </w:p>
        </w:tc>
        <w:tc>
          <w:tcPr>
            <w:tcW w:type="dxa" w:w="1417"/>
            <w:shd w:val="clear" w:color="auto" w:fill="1F3864"/>
          </w:tcPr>
          <w:p>
            <w:r/>
            <w:r>
              <w:rPr>
                <w:rFonts w:ascii="Calibri" w:hAnsi="Calibri" w:cs="Calibri" w:eastAsia="Calibri"/>
                <w:b/>
                <w:i w:val="0"/>
                <w:color w:val="FFFFFF"/>
                <w:sz w:val="18"/>
                <w:szCs w:val="18"/>
                <w:bCs/>
              </w:rPr>
              <w:t>Review frequency</w:t>
            </w:r>
          </w:p>
        </w:tc>
      </w:tr>
      <w:tr>
        <w:tc>
          <w:tcPr>
            <w:tcW w:type="dxa" w:w="1701"/>
          </w:tcPr>
          <w:p>
            <w:r/>
            <w:r>
              <w:rPr>
                <w:rFonts w:ascii="Calibri" w:hAnsi="Calibri" w:cs="Calibri" w:eastAsia="Calibri"/>
                <w:b w:val="0"/>
                <w:i w:val="0"/>
                <w:sz w:val="18"/>
                <w:szCs w:val="18"/>
              </w:rPr>
              <w:t>Tier 1 (Critical)</w:t>
            </w:r>
          </w:p>
        </w:tc>
        <w:tc>
          <w:tcPr>
            <w:tcW w:type="dxa" w:w="3118"/>
          </w:tcPr>
          <w:p>
            <w:r/>
            <w:r>
              <w:rPr>
                <w:rFonts w:ascii="Calibri" w:hAnsi="Calibri" w:cs="Calibri" w:eastAsia="Calibri"/>
                <w:b w:val="0"/>
                <w:i w:val="0"/>
                <w:sz w:val="18"/>
                <w:szCs w:val="18"/>
              </w:rPr>
              <w:t>Supports a critical service, holds sensitive data, or has privileged or remote access</w:t>
            </w:r>
          </w:p>
        </w:tc>
        <w:tc>
          <w:tcPr>
            <w:tcW w:type="dxa" w:w="3118"/>
          </w:tcPr>
          <w:p>
            <w:r/>
            <w:r>
              <w:rPr>
                <w:rFonts w:ascii="Calibri" w:hAnsi="Calibri" w:cs="Calibri" w:eastAsia="Calibri"/>
                <w:b w:val="0"/>
                <w:i w:val="0"/>
                <w:sz w:val="18"/>
                <w:szCs w:val="18"/>
              </w:rPr>
              <w:t>Full questionnaire, evidence review, ISO/IEC 27001 or SOC 2 report, possible on-site review</w:t>
            </w:r>
          </w:p>
        </w:tc>
        <w:tc>
          <w:tcPr>
            <w:tcW w:type="dxa" w:w="1417"/>
          </w:tcPr>
          <w:p>
            <w:r/>
            <w:r>
              <w:rPr>
                <w:rFonts w:ascii="Calibri" w:hAnsi="Calibri" w:cs="Calibri" w:eastAsia="Calibri"/>
                <w:b w:val="0"/>
                <w:i w:val="0"/>
                <w:sz w:val="18"/>
                <w:szCs w:val="18"/>
              </w:rPr>
              <w:t>Annual</w:t>
            </w:r>
          </w:p>
        </w:tc>
      </w:tr>
      <w:tr>
        <w:tc>
          <w:tcPr>
            <w:tcW w:type="dxa" w:w="1701"/>
          </w:tcPr>
          <w:p>
            <w:r/>
            <w:r>
              <w:rPr>
                <w:rFonts w:ascii="Calibri" w:hAnsi="Calibri" w:cs="Calibri" w:eastAsia="Calibri"/>
                <w:b w:val="0"/>
                <w:i w:val="0"/>
                <w:sz w:val="18"/>
                <w:szCs w:val="18"/>
              </w:rPr>
              <w:t>Tier 2 (High)</w:t>
            </w:r>
          </w:p>
        </w:tc>
        <w:tc>
          <w:tcPr>
            <w:tcW w:type="dxa" w:w="3118"/>
          </w:tcPr>
          <w:p>
            <w:r/>
            <w:r>
              <w:rPr>
                <w:rFonts w:ascii="Calibri" w:hAnsi="Calibri" w:cs="Calibri" w:eastAsia="Calibri"/>
                <w:b w:val="0"/>
                <w:i w:val="0"/>
                <w:sz w:val="18"/>
                <w:szCs w:val="18"/>
              </w:rPr>
              <w:t>Holds internal or personal data, or network access with limits</w:t>
            </w:r>
          </w:p>
        </w:tc>
        <w:tc>
          <w:tcPr>
            <w:tcW w:type="dxa" w:w="3118"/>
          </w:tcPr>
          <w:p>
            <w:r/>
            <w:r>
              <w:rPr>
                <w:rFonts w:ascii="Calibri" w:hAnsi="Calibri" w:cs="Calibri" w:eastAsia="Calibri"/>
                <w:b w:val="0"/>
                <w:i w:val="0"/>
                <w:sz w:val="18"/>
                <w:szCs w:val="18"/>
              </w:rPr>
              <w:t>Standard questionnaire and evidence</w:t>
            </w:r>
          </w:p>
        </w:tc>
        <w:tc>
          <w:tcPr>
            <w:tcW w:type="dxa" w:w="1417"/>
          </w:tcPr>
          <w:p>
            <w:r/>
            <w:r>
              <w:rPr>
                <w:rFonts w:ascii="Calibri" w:hAnsi="Calibri" w:cs="Calibri" w:eastAsia="Calibri"/>
                <w:b w:val="0"/>
                <w:i w:val="0"/>
                <w:sz w:val="18"/>
                <w:szCs w:val="18"/>
              </w:rPr>
              <w:t>Every two years</w:t>
            </w:r>
          </w:p>
        </w:tc>
      </w:tr>
      <w:tr>
        <w:tc>
          <w:tcPr>
            <w:tcW w:type="dxa" w:w="1701"/>
          </w:tcPr>
          <w:p>
            <w:r/>
            <w:r>
              <w:rPr>
                <w:rFonts w:ascii="Calibri" w:hAnsi="Calibri" w:cs="Calibri" w:eastAsia="Calibri"/>
                <w:b w:val="0"/>
                <w:i w:val="0"/>
                <w:sz w:val="18"/>
                <w:szCs w:val="18"/>
              </w:rPr>
              <w:t>Tier 3 (Low)</w:t>
            </w:r>
          </w:p>
        </w:tc>
        <w:tc>
          <w:tcPr>
            <w:tcW w:type="dxa" w:w="3118"/>
          </w:tcPr>
          <w:p>
            <w:r/>
            <w:r>
              <w:rPr>
                <w:rFonts w:ascii="Calibri" w:hAnsi="Calibri" w:cs="Calibri" w:eastAsia="Calibri"/>
                <w:b w:val="0"/>
                <w:i w:val="0"/>
                <w:sz w:val="18"/>
                <w:szCs w:val="18"/>
              </w:rPr>
              <w:t>No data or system access</w:t>
            </w:r>
          </w:p>
        </w:tc>
        <w:tc>
          <w:tcPr>
            <w:tcW w:type="dxa" w:w="3118"/>
          </w:tcPr>
          <w:p>
            <w:r/>
            <w:r>
              <w:rPr>
                <w:rFonts w:ascii="Calibri" w:hAnsi="Calibri" w:cs="Calibri" w:eastAsia="Calibri"/>
                <w:b w:val="0"/>
                <w:i w:val="0"/>
                <w:sz w:val="18"/>
                <w:szCs w:val="18"/>
              </w:rPr>
              <w:t>Basic declaration</w:t>
            </w:r>
          </w:p>
        </w:tc>
        <w:tc>
          <w:tcPr>
            <w:tcW w:type="dxa" w:w="1417"/>
          </w:tcPr>
          <w:p>
            <w:r/>
            <w:r>
              <w:rPr>
                <w:rFonts w:ascii="Calibri" w:hAnsi="Calibri" w:cs="Calibri" w:eastAsia="Calibri"/>
                <w:b w:val="0"/>
                <w:i w:val="0"/>
                <w:sz w:val="18"/>
                <w:szCs w:val="18"/>
              </w:rPr>
              <w:t>At renewal</w:t>
            </w:r>
          </w:p>
        </w:tc>
      </w:tr>
    </w:tbl>
    <w:p>
      <w:pPr>
        <w:spacing w:after="40"/>
      </w:pP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life-cycle steps (GV.SC-06, GV.SC-07, GV.SC-10; ID.RA-10).</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4139"/>
        <w:gridCol w:w="2154"/>
        <w:gridCol w:w="2381"/>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4139"/>
            <w:shd w:val="clear" w:color="auto" w:fill="1F3864"/>
          </w:tcPr>
          <w:p>
            <w:r/>
            <w:r>
              <w:rPr>
                <w:rFonts w:ascii="Calibri" w:hAnsi="Calibri" w:cs="Calibri" w:eastAsia="Calibri"/>
                <w:b/>
                <w:i w:val="0"/>
                <w:color w:val="FFFFFF"/>
                <w:sz w:val="18"/>
                <w:szCs w:val="18"/>
                <w:bCs/>
              </w:rPr>
              <w:t>Activity</w:t>
            </w:r>
          </w:p>
        </w:tc>
        <w:tc>
          <w:tcPr>
            <w:tcW w:type="dxa" w:w="2154"/>
            <w:shd w:val="clear" w:color="auto" w:fill="1F3864"/>
          </w:tcPr>
          <w:p>
            <w:r/>
            <w:r>
              <w:rPr>
                <w:rFonts w:ascii="Calibri" w:hAnsi="Calibri" w:cs="Calibri" w:eastAsia="Calibri"/>
                <w:b/>
                <w:i w:val="0"/>
                <w:color w:val="FFFFFF"/>
                <w:sz w:val="18"/>
                <w:szCs w:val="18"/>
                <w:bCs/>
              </w:rPr>
              <w:t>Actor</w:t>
            </w:r>
          </w:p>
        </w:tc>
        <w:tc>
          <w:tcPr>
            <w:tcW w:type="dxa" w:w="2381"/>
            <w:shd w:val="clear" w:color="auto" w:fill="1F3864"/>
          </w:tcPr>
          <w:p>
            <w:r/>
            <w:r>
              <w:rPr>
                <w:rFonts w:ascii="Calibri" w:hAnsi="Calibri" w:cs="Calibri" w:eastAsia="Calibri"/>
                <w:b/>
                <w:i w:val="0"/>
                <w:color w:val="FFFFFF"/>
                <w:sz w:val="18"/>
                <w:szCs w:val="18"/>
                <w:bCs/>
              </w:rPr>
              <w:t>Output</w:t>
            </w:r>
          </w:p>
        </w:tc>
      </w:tr>
      <w:tr>
        <w:tc>
          <w:tcPr>
            <w:tcW w:type="dxa" w:w="680"/>
          </w:tcPr>
          <w:p>
            <w:r/>
            <w:r>
              <w:rPr>
                <w:rFonts w:ascii="Calibri" w:hAnsi="Calibri" w:cs="Calibri" w:eastAsia="Calibri"/>
                <w:b w:val="0"/>
                <w:i w:val="0"/>
                <w:sz w:val="18"/>
                <w:szCs w:val="18"/>
              </w:rPr>
              <w:t>1</w:t>
            </w:r>
          </w:p>
        </w:tc>
        <w:tc>
          <w:tcPr>
            <w:tcW w:type="dxa" w:w="4139"/>
          </w:tcPr>
          <w:p>
            <w:r/>
            <w:r>
              <w:rPr>
                <w:rFonts w:ascii="Calibri" w:hAnsi="Calibri" w:cs="Calibri" w:eastAsia="Calibri"/>
                <w:b w:val="0"/>
                <w:i w:val="0"/>
                <w:sz w:val="18"/>
                <w:szCs w:val="18"/>
              </w:rPr>
              <w:t>Register the supplier and complete the tiering questions</w:t>
            </w:r>
          </w:p>
        </w:tc>
        <w:tc>
          <w:tcPr>
            <w:tcW w:type="dxa" w:w="2154"/>
          </w:tcPr>
          <w:p>
            <w:r/>
            <w:r>
              <w:rPr>
                <w:rFonts w:ascii="Calibri" w:hAnsi="Calibri" w:cs="Calibri" w:eastAsia="Calibri"/>
                <w:b w:val="0"/>
                <w:i w:val="0"/>
                <w:sz w:val="18"/>
                <w:szCs w:val="18"/>
              </w:rPr>
              <w:t>Business owner, Procurement Manager</w:t>
            </w:r>
          </w:p>
        </w:tc>
        <w:tc>
          <w:tcPr>
            <w:tcW w:type="dxa" w:w="2381"/>
          </w:tcPr>
          <w:p>
            <w:r/>
            <w:r>
              <w:rPr>
                <w:rFonts w:ascii="Calibri" w:hAnsi="Calibri" w:cs="Calibri" w:eastAsia="Calibri"/>
                <w:b w:val="0"/>
                <w:i w:val="0"/>
                <w:sz w:val="18"/>
                <w:szCs w:val="18"/>
              </w:rPr>
              <w:t>Entry in GV-REG-009</w:t>
            </w:r>
          </w:p>
        </w:tc>
      </w:tr>
      <w:tr>
        <w:tc>
          <w:tcPr>
            <w:tcW w:type="dxa" w:w="680"/>
          </w:tcPr>
          <w:p>
            <w:r/>
            <w:r>
              <w:rPr>
                <w:rFonts w:ascii="Calibri" w:hAnsi="Calibri" w:cs="Calibri" w:eastAsia="Calibri"/>
                <w:b w:val="0"/>
                <w:i w:val="0"/>
                <w:sz w:val="18"/>
                <w:szCs w:val="18"/>
              </w:rPr>
              <w:t>2</w:t>
            </w:r>
          </w:p>
        </w:tc>
        <w:tc>
          <w:tcPr>
            <w:tcW w:type="dxa" w:w="4139"/>
          </w:tcPr>
          <w:p>
            <w:r/>
            <w:r>
              <w:rPr>
                <w:rFonts w:ascii="Calibri" w:hAnsi="Calibri" w:cs="Calibri" w:eastAsia="Calibri"/>
                <w:b w:val="0"/>
                <w:i w:val="0"/>
                <w:sz w:val="18"/>
                <w:szCs w:val="18"/>
              </w:rPr>
              <w:t>Send the Vendor Security Assessment Questionnaire (GV-FRM-006) by tier</w:t>
            </w:r>
          </w:p>
        </w:tc>
        <w:tc>
          <w:tcPr>
            <w:tcW w:type="dxa" w:w="2154"/>
          </w:tcPr>
          <w:p>
            <w:r/>
            <w:r>
              <w:rPr>
                <w:rFonts w:ascii="Calibri" w:hAnsi="Calibri" w:cs="Calibri" w:eastAsia="Calibri"/>
                <w:b w:val="0"/>
                <w:i w:val="0"/>
                <w:sz w:val="18"/>
                <w:szCs w:val="18"/>
              </w:rPr>
              <w:t>Security Manager</w:t>
            </w:r>
          </w:p>
        </w:tc>
        <w:tc>
          <w:tcPr>
            <w:tcW w:type="dxa" w:w="2381"/>
          </w:tcPr>
          <w:p>
            <w:r/>
            <w:r>
              <w:rPr>
                <w:rFonts w:ascii="Calibri" w:hAnsi="Calibri" w:cs="Calibri" w:eastAsia="Calibri"/>
                <w:b w:val="0"/>
                <w:i w:val="0"/>
                <w:sz w:val="18"/>
                <w:szCs w:val="18"/>
              </w:rPr>
              <w:t>Completed questionnaire and evidence</w:t>
            </w:r>
          </w:p>
        </w:tc>
      </w:tr>
      <w:tr>
        <w:tc>
          <w:tcPr>
            <w:tcW w:type="dxa" w:w="680"/>
          </w:tcPr>
          <w:p>
            <w:r/>
            <w:r>
              <w:rPr>
                <w:rFonts w:ascii="Calibri" w:hAnsi="Calibri" w:cs="Calibri" w:eastAsia="Calibri"/>
                <w:b w:val="0"/>
                <w:i w:val="0"/>
                <w:sz w:val="18"/>
                <w:szCs w:val="18"/>
              </w:rPr>
              <w:t>3</w:t>
            </w:r>
          </w:p>
        </w:tc>
        <w:tc>
          <w:tcPr>
            <w:tcW w:type="dxa" w:w="4139"/>
          </w:tcPr>
          <w:p>
            <w:r/>
            <w:r>
              <w:rPr>
                <w:rFonts w:ascii="Calibri" w:hAnsi="Calibri" w:cs="Calibri" w:eastAsia="Calibri"/>
                <w:b w:val="0"/>
                <w:i w:val="0"/>
                <w:sz w:val="18"/>
                <w:szCs w:val="18"/>
              </w:rPr>
              <w:t>Assess risk, agree remediation, and decide go or no-go</w:t>
            </w:r>
          </w:p>
        </w:tc>
        <w:tc>
          <w:tcPr>
            <w:tcW w:type="dxa" w:w="2154"/>
          </w:tcPr>
          <w:p>
            <w:r/>
            <w:r>
              <w:rPr>
                <w:rFonts w:ascii="Calibri" w:hAnsi="Calibri" w:cs="Calibri" w:eastAsia="Calibri"/>
                <w:b w:val="0"/>
                <w:i w:val="0"/>
                <w:sz w:val="18"/>
                <w:szCs w:val="18"/>
              </w:rPr>
              <w:t>Security Manager, business owner</w:t>
            </w:r>
          </w:p>
        </w:tc>
        <w:tc>
          <w:tcPr>
            <w:tcW w:type="dxa" w:w="2381"/>
          </w:tcPr>
          <w:p>
            <w:r/>
            <w:r>
              <w:rPr>
                <w:rFonts w:ascii="Calibri" w:hAnsi="Calibri" w:cs="Calibri" w:eastAsia="Calibri"/>
                <w:b w:val="0"/>
                <w:i w:val="0"/>
                <w:sz w:val="18"/>
                <w:szCs w:val="18"/>
              </w:rPr>
              <w:t>Assessment result; risk entry if needed</w:t>
            </w:r>
          </w:p>
        </w:tc>
      </w:tr>
      <w:tr>
        <w:tc>
          <w:tcPr>
            <w:tcW w:type="dxa" w:w="680"/>
          </w:tcPr>
          <w:p>
            <w:r/>
            <w:r>
              <w:rPr>
                <w:rFonts w:ascii="Calibri" w:hAnsi="Calibri" w:cs="Calibri" w:eastAsia="Calibri"/>
                <w:b w:val="0"/>
                <w:i w:val="0"/>
                <w:sz w:val="18"/>
                <w:szCs w:val="18"/>
              </w:rPr>
              <w:t>4</w:t>
            </w:r>
          </w:p>
        </w:tc>
        <w:tc>
          <w:tcPr>
            <w:tcW w:type="dxa" w:w="4139"/>
          </w:tcPr>
          <w:p>
            <w:r/>
            <w:r>
              <w:rPr>
                <w:rFonts w:ascii="Calibri" w:hAnsi="Calibri" w:cs="Calibri" w:eastAsia="Calibri"/>
                <w:b w:val="0"/>
                <w:i w:val="0"/>
                <w:sz w:val="18"/>
                <w:szCs w:val="18"/>
              </w:rPr>
              <w:t>Include required clauses (GV-STD-002) and DPA (GV-TPL-004)</w:t>
            </w:r>
          </w:p>
        </w:tc>
        <w:tc>
          <w:tcPr>
            <w:tcW w:type="dxa" w:w="2154"/>
          </w:tcPr>
          <w:p>
            <w:r/>
            <w:r>
              <w:rPr>
                <w:rFonts w:ascii="Calibri" w:hAnsi="Calibri" w:cs="Calibri" w:eastAsia="Calibri"/>
                <w:b w:val="0"/>
                <w:i w:val="0"/>
                <w:sz w:val="18"/>
                <w:szCs w:val="18"/>
              </w:rPr>
              <w:t>Legal Counsel, Procurement Manager</w:t>
            </w:r>
          </w:p>
        </w:tc>
        <w:tc>
          <w:tcPr>
            <w:tcW w:type="dxa" w:w="2381"/>
          </w:tcPr>
          <w:p>
            <w:r/>
            <w:r>
              <w:rPr>
                <w:rFonts w:ascii="Calibri" w:hAnsi="Calibri" w:cs="Calibri" w:eastAsia="Calibri"/>
                <w:b w:val="0"/>
                <w:i w:val="0"/>
                <w:sz w:val="18"/>
                <w:szCs w:val="18"/>
              </w:rPr>
              <w:t>Signed contract</w:t>
            </w:r>
          </w:p>
        </w:tc>
      </w:tr>
      <w:tr>
        <w:tc>
          <w:tcPr>
            <w:tcW w:type="dxa" w:w="680"/>
          </w:tcPr>
          <w:p>
            <w:r/>
            <w:r>
              <w:rPr>
                <w:rFonts w:ascii="Calibri" w:hAnsi="Calibri" w:cs="Calibri" w:eastAsia="Calibri"/>
                <w:b w:val="0"/>
                <w:i w:val="0"/>
                <w:sz w:val="18"/>
                <w:szCs w:val="18"/>
              </w:rPr>
              <w:t>5</w:t>
            </w:r>
          </w:p>
        </w:tc>
        <w:tc>
          <w:tcPr>
            <w:tcW w:type="dxa" w:w="4139"/>
          </w:tcPr>
          <w:p>
            <w:r/>
            <w:r>
              <w:rPr>
                <w:rFonts w:ascii="Calibri" w:hAnsi="Calibri" w:cs="Calibri" w:eastAsia="Calibri"/>
                <w:b w:val="0"/>
                <w:i w:val="0"/>
                <w:sz w:val="18"/>
                <w:szCs w:val="18"/>
              </w:rPr>
              <w:t>Monitor: reassess by tier, track incidents, review access and performance</w:t>
            </w:r>
          </w:p>
        </w:tc>
        <w:tc>
          <w:tcPr>
            <w:tcW w:type="dxa" w:w="2154"/>
          </w:tcPr>
          <w:p>
            <w:r/>
            <w:r>
              <w:rPr>
                <w:rFonts w:ascii="Calibri" w:hAnsi="Calibri" w:cs="Calibri" w:eastAsia="Calibri"/>
                <w:b w:val="0"/>
                <w:i w:val="0"/>
                <w:sz w:val="18"/>
                <w:szCs w:val="18"/>
              </w:rPr>
              <w:t>Security Manager, business owner</w:t>
            </w:r>
          </w:p>
        </w:tc>
        <w:tc>
          <w:tcPr>
            <w:tcW w:type="dxa" w:w="2381"/>
          </w:tcPr>
          <w:p>
            <w:r/>
            <w:r>
              <w:rPr>
                <w:rFonts w:ascii="Calibri" w:hAnsi="Calibri" w:cs="Calibri" w:eastAsia="Calibri"/>
                <w:b w:val="0"/>
                <w:i w:val="0"/>
                <w:sz w:val="18"/>
                <w:szCs w:val="18"/>
              </w:rPr>
              <w:t>Reassessment record</w:t>
            </w:r>
          </w:p>
        </w:tc>
      </w:tr>
      <w:tr>
        <w:tc>
          <w:tcPr>
            <w:tcW w:type="dxa" w:w="680"/>
          </w:tcPr>
          <w:p>
            <w:r/>
            <w:r>
              <w:rPr>
                <w:rFonts w:ascii="Calibri" w:hAnsi="Calibri" w:cs="Calibri" w:eastAsia="Calibri"/>
                <w:b w:val="0"/>
                <w:i w:val="0"/>
                <w:sz w:val="18"/>
                <w:szCs w:val="18"/>
              </w:rPr>
              <w:t>6</w:t>
            </w:r>
          </w:p>
        </w:tc>
        <w:tc>
          <w:tcPr>
            <w:tcW w:type="dxa" w:w="4139"/>
          </w:tcPr>
          <w:p>
            <w:r/>
            <w:r>
              <w:rPr>
                <w:rFonts w:ascii="Calibri" w:hAnsi="Calibri" w:cs="Calibri" w:eastAsia="Calibri"/>
                <w:b w:val="0"/>
                <w:i w:val="0"/>
                <w:sz w:val="18"/>
                <w:szCs w:val="18"/>
              </w:rPr>
              <w:t>Offboard: revoke access, recover data, confirm deletion (GV-FRM-007)</w:t>
            </w:r>
          </w:p>
        </w:tc>
        <w:tc>
          <w:tcPr>
            <w:tcW w:type="dxa" w:w="2154"/>
          </w:tcPr>
          <w:p>
            <w:r/>
            <w:r>
              <w:rPr>
                <w:rFonts w:ascii="Calibri" w:hAnsi="Calibri" w:cs="Calibri" w:eastAsia="Calibri"/>
                <w:b w:val="0"/>
                <w:i w:val="0"/>
                <w:sz w:val="18"/>
                <w:szCs w:val="18"/>
              </w:rPr>
              <w:t>Business owner, IT Infrastructure Manager</w:t>
            </w:r>
          </w:p>
        </w:tc>
        <w:tc>
          <w:tcPr>
            <w:tcW w:type="dxa" w:w="2381"/>
          </w:tcPr>
          <w:p>
            <w:r/>
            <w:r>
              <w:rPr>
                <w:rFonts w:ascii="Calibri" w:hAnsi="Calibri" w:cs="Calibri" w:eastAsia="Calibri"/>
                <w:b w:val="0"/>
                <w:i w:val="0"/>
                <w:sz w:val="18"/>
                <w:szCs w:val="18"/>
              </w:rPr>
              <w:t>Signed offboarding checklist</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GV-REG-009: Supplier Inventory and Criticality Register</w:t>
      </w:r>
    </w:p>
    <w:p>
      <w:pPr>
        <w:pStyle w:val="ListBullet"/>
        <w:spacing w:after="40"/>
      </w:pPr>
      <w:r>
        <w:rPr>
          <w:rFonts w:ascii="Calibri" w:hAnsi="Calibri" w:cs="Calibri" w:eastAsia="Calibri"/>
          <w:b w:val="0"/>
          <w:i w:val="0"/>
          <w:sz w:val="21"/>
          <w:szCs w:val="21"/>
        </w:rPr>
        <w:t>GV-FRM-006: Vendor Security Assessment Questionnaire</w:t>
      </w:r>
    </w:p>
    <w:p>
      <w:pPr>
        <w:pStyle w:val="ListBullet"/>
        <w:spacing w:after="40"/>
      </w:pPr>
      <w:r>
        <w:rPr>
          <w:rFonts w:ascii="Calibri" w:hAnsi="Calibri" w:cs="Calibri" w:eastAsia="Calibri"/>
          <w:b w:val="0"/>
          <w:i w:val="0"/>
          <w:sz w:val="21"/>
          <w:szCs w:val="21"/>
        </w:rPr>
        <w:t>GV-FRM-007: Supplier Offboarding Checklist</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Accept independent assurance (ISO/IEC 27001 certificate with scope, SOC 2 Type II report) instead of long questionnaires for large providers.</w:t>
      </w:r>
    </w:p>
    <w:p>
      <w:pPr>
        <w:pStyle w:val="ListBullet"/>
        <w:spacing w:after="40"/>
      </w:pPr>
      <w:r>
        <w:rPr>
          <w:rFonts w:ascii="Calibri" w:hAnsi="Calibri" w:cs="Calibri" w:eastAsia="Calibri"/>
          <w:b w:val="0"/>
          <w:i w:val="0"/>
          <w:sz w:val="21"/>
          <w:szCs w:val="21"/>
        </w:rPr>
        <w:t>Monitor critical suppliers continuously through breach news and external attack surface ratings.</w:t>
      </w:r>
    </w:p>
    <w:p>
      <w:pPr>
        <w:pStyle w:val="ListBullet"/>
        <w:spacing w:after="40"/>
      </w:pPr>
      <w:r>
        <w:rPr>
          <w:rFonts w:ascii="Calibri" w:hAnsi="Calibri" w:cs="Calibri" w:eastAsia="Calibri"/>
          <w:b w:val="0"/>
          <w:i w:val="0"/>
          <w:sz w:val="21"/>
          <w:szCs w:val="21"/>
        </w:rPr>
        <w:t>Hold an annual security review meeting with each Tier 1 supplier.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Accepting a certificate without checking that its scope covers the service you buy.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GV.SC-04: Suppliers are known and prioritized by criticality</w:t>
            </w:r>
          </w:p>
          <w:p>
            <w:r>
              <w:rPr>
                <w:rFonts w:ascii="Calibri" w:hAnsi="Calibri" w:cs="Calibri" w:eastAsia="Calibri"/>
                <w:b w:val="0"/>
                <w:i w:val="0"/>
                <w:sz w:val="18"/>
                <w:szCs w:val="18"/>
              </w:rPr>
              <w:t>GV.SC-06: Planning and due diligence are performed to reduce risks before entering supplier relationships</w:t>
            </w:r>
          </w:p>
          <w:p>
            <w:r>
              <w:rPr>
                <w:rFonts w:ascii="Calibri" w:hAnsi="Calibri" w:cs="Calibri" w:eastAsia="Calibri"/>
                <w:b w:val="0"/>
                <w:i w:val="0"/>
                <w:sz w:val="18"/>
                <w:szCs w:val="18"/>
              </w:rPr>
              <w:t>GV.SC-07: Supplier risks are understood, recorded, prioritized, assessed, responded to, and monitored</w:t>
            </w:r>
          </w:p>
          <w:p>
            <w:r>
              <w:rPr>
                <w:rFonts w:ascii="Calibri" w:hAnsi="Calibri" w:cs="Calibri" w:eastAsia="Calibri"/>
                <w:b w:val="0"/>
                <w:i w:val="0"/>
                <w:sz w:val="18"/>
                <w:szCs w:val="18"/>
              </w:rPr>
              <w:t>GV.SC-10: Supply chain risk management plans include provisions for activities after a partnership or service ends</w:t>
            </w:r>
          </w:p>
          <w:p>
            <w:r>
              <w:rPr>
                <w:rFonts w:ascii="Calibri" w:hAnsi="Calibri" w:cs="Calibri" w:eastAsia="Calibri"/>
                <w:b w:val="0"/>
                <w:i w:val="0"/>
                <w:sz w:val="18"/>
                <w:szCs w:val="18"/>
              </w:rPr>
              <w:t>ID.RA-10: Critical suppliers are assessed prior to acquisition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A.5.19, Annex A.5.22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SR-2, SR-6, SA-9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5.19 and 5.22; NIST SP 800-161 Rev.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GV-POL-006: Third-Party and Supply Chain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GV-REG-009: Supplier Inventory and Criticality Register</w:t>
            </w:r>
          </w:p>
          <w:p>
            <w:r>
              <w:rPr>
                <w:rFonts w:ascii="Calibri" w:hAnsi="Calibri" w:cs="Calibri" w:eastAsia="Calibri"/>
                <w:b w:val="0"/>
                <w:i w:val="0"/>
                <w:sz w:val="18"/>
                <w:szCs w:val="18"/>
              </w:rPr>
              <w:t>GV-FRM-006: Vendor Security Assessment Questionnaire</w:t>
            </w:r>
          </w:p>
          <w:p>
            <w:r>
              <w:rPr>
                <w:rFonts w:ascii="Calibri" w:hAnsi="Calibri" w:cs="Calibri" w:eastAsia="Calibri"/>
                <w:b w:val="0"/>
                <w:i w:val="0"/>
                <w:sz w:val="18"/>
                <w:szCs w:val="18"/>
              </w:rPr>
              <w:t>GV-FRM-007: Supplier Offboarding Checklist</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GV-PRC-008  |  Third-Party Risk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