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Supplier Security Requirements Standard</w:t>
      </w:r>
    </w:p>
    <w:p>
      <w:pPr>
        <w:spacing w:after="80" w:before="0"/>
      </w:pPr>
      <w:r>
        <w:rPr>
          <w:rFonts w:ascii="Calibri" w:hAnsi="Calibri" w:cs="Calibri" w:eastAsia="Calibri"/>
          <w:b w:val="0"/>
          <w:i w:val="0"/>
          <w:color w:val="595959"/>
          <w:sz w:val="18"/>
          <w:szCs w:val="18"/>
        </w:rPr>
        <w:t>GV-STD-002  |  Standard  |  Cybersecurity Supply Chain Risk Management (GV.SC)</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GV-STD-002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Supplier Security Requirements Standard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26 September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26 September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2: Standard</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Standard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Cybersecurity Supply Chain Risk Management (GV.SC)</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5.20; PDPA s.40</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Third Party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12 June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26 September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sets the security and privacy clauses that contracts must contain, scaled by supplier tier, so requirements are enforceable (GV.SC-05).</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Contract Requirements by Tier</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required clauses and the tiers to which they apply.</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850"/>
        <w:gridCol w:w="4819"/>
        <w:gridCol w:w="1247"/>
        <w:gridCol w:w="1247"/>
        <w:gridCol w:w="1190"/>
      </w:tblGrid>
      <w:tr>
        <w:trPr>
          <w:tblHeader w:val="true"/>
        </w:trPr>
        <w:tc>
          <w:tcPr>
            <w:tcW w:type="dxa" w:w="850"/>
            <w:shd w:val="clear" w:color="auto" w:fill="1F3864"/>
          </w:tcPr>
          <w:p>
            <w:r/>
            <w:r>
              <w:rPr>
                <w:rFonts w:ascii="Calibri" w:hAnsi="Calibri" w:cs="Calibri" w:eastAsia="Calibri"/>
                <w:b/>
                <w:i w:val="0"/>
                <w:color w:val="FFFFFF"/>
                <w:sz w:val="18"/>
                <w:szCs w:val="18"/>
                <w:bCs/>
              </w:rPr>
              <w:t>ID</w:t>
            </w:r>
          </w:p>
        </w:tc>
        <w:tc>
          <w:tcPr>
            <w:tcW w:type="dxa" w:w="4819"/>
            <w:shd w:val="clear" w:color="auto" w:fill="1F3864"/>
          </w:tcPr>
          <w:p>
            <w:r/>
            <w:r>
              <w:rPr>
                <w:rFonts w:ascii="Calibri" w:hAnsi="Calibri" w:cs="Calibri" w:eastAsia="Calibri"/>
                <w:b/>
                <w:i w:val="0"/>
                <w:color w:val="FFFFFF"/>
                <w:sz w:val="18"/>
                <w:szCs w:val="18"/>
                <w:bCs/>
              </w:rPr>
              <w:t>Clause</w:t>
            </w:r>
          </w:p>
        </w:tc>
        <w:tc>
          <w:tcPr>
            <w:tcW w:type="dxa" w:w="1247"/>
            <w:shd w:val="clear" w:color="auto" w:fill="1F3864"/>
          </w:tcPr>
          <w:p>
            <w:r/>
            <w:r>
              <w:rPr>
                <w:rFonts w:ascii="Calibri" w:hAnsi="Calibri" w:cs="Calibri" w:eastAsia="Calibri"/>
                <w:b/>
                <w:i w:val="0"/>
                <w:color w:val="FFFFFF"/>
                <w:sz w:val="18"/>
                <w:szCs w:val="18"/>
                <w:bCs/>
              </w:rPr>
              <w:t>Tier 1</w:t>
            </w:r>
          </w:p>
        </w:tc>
        <w:tc>
          <w:tcPr>
            <w:tcW w:type="dxa" w:w="1247"/>
            <w:shd w:val="clear" w:color="auto" w:fill="1F3864"/>
          </w:tcPr>
          <w:p>
            <w:r/>
            <w:r>
              <w:rPr>
                <w:rFonts w:ascii="Calibri" w:hAnsi="Calibri" w:cs="Calibri" w:eastAsia="Calibri"/>
                <w:b/>
                <w:i w:val="0"/>
                <w:color w:val="FFFFFF"/>
                <w:sz w:val="18"/>
                <w:szCs w:val="18"/>
                <w:bCs/>
              </w:rPr>
              <w:t>Tier 2</w:t>
            </w:r>
          </w:p>
        </w:tc>
        <w:tc>
          <w:tcPr>
            <w:tcW w:type="dxa" w:w="1191"/>
            <w:shd w:val="clear" w:color="auto" w:fill="1F3864"/>
          </w:tcPr>
          <w:p>
            <w:r/>
            <w:r>
              <w:rPr>
                <w:rFonts w:ascii="Calibri" w:hAnsi="Calibri" w:cs="Calibri" w:eastAsia="Calibri"/>
                <w:b/>
                <w:i w:val="0"/>
                <w:color w:val="FFFFFF"/>
                <w:sz w:val="18"/>
                <w:szCs w:val="18"/>
                <w:bCs/>
              </w:rPr>
              <w:t>Tier 3</w:t>
            </w:r>
          </w:p>
        </w:tc>
      </w:tr>
      <w:tr>
        <w:tc>
          <w:tcPr>
            <w:tcW w:type="dxa" w:w="850"/>
          </w:tcPr>
          <w:p>
            <w:r/>
            <w:r>
              <w:rPr>
                <w:rFonts w:ascii="Calibri" w:hAnsi="Calibri" w:cs="Calibri" w:eastAsia="Calibri"/>
                <w:b w:val="0"/>
                <w:i w:val="0"/>
                <w:sz w:val="18"/>
                <w:szCs w:val="18"/>
              </w:rPr>
              <w:t>SC-01</w:t>
            </w:r>
          </w:p>
        </w:tc>
        <w:tc>
          <w:tcPr>
            <w:tcW w:type="dxa" w:w="4819"/>
          </w:tcPr>
          <w:p>
            <w:r/>
            <w:r>
              <w:rPr>
                <w:rFonts w:ascii="Calibri" w:hAnsi="Calibri" w:cs="Calibri" w:eastAsia="Calibri"/>
                <w:b w:val="0"/>
                <w:i w:val="0"/>
                <w:sz w:val="18"/>
                <w:szCs w:val="18"/>
              </w:rPr>
              <w:t>Compliance with Chaophraya Medical Center (CMC) security policies and applicable law</w:t>
            </w:r>
          </w:p>
        </w:tc>
        <w:tc>
          <w:tcPr>
            <w:tcW w:type="dxa" w:w="1247"/>
          </w:tcPr>
          <w:p>
            <w:r/>
            <w:r>
              <w:rPr>
                <w:rFonts w:ascii="Calibri" w:hAnsi="Calibri" w:cs="Calibri" w:eastAsia="Calibri"/>
                <w:b w:val="0"/>
                <w:i w:val="0"/>
                <w:sz w:val="18"/>
                <w:szCs w:val="18"/>
              </w:rPr>
              <w:t>Yes</w:t>
            </w:r>
          </w:p>
        </w:tc>
        <w:tc>
          <w:tcPr>
            <w:tcW w:type="dxa" w:w="1247"/>
          </w:tcPr>
          <w:p>
            <w:r/>
            <w:r>
              <w:rPr>
                <w:rFonts w:ascii="Calibri" w:hAnsi="Calibri" w:cs="Calibri" w:eastAsia="Calibri"/>
                <w:b w:val="0"/>
                <w:i w:val="0"/>
                <w:sz w:val="18"/>
                <w:szCs w:val="18"/>
              </w:rPr>
              <w:t>Yes</w:t>
            </w:r>
          </w:p>
        </w:tc>
        <w:tc>
          <w:tcPr>
            <w:tcW w:type="dxa" w:w="1191"/>
          </w:tcPr>
          <w:p>
            <w:r/>
            <w:r>
              <w:rPr>
                <w:rFonts w:ascii="Calibri" w:hAnsi="Calibri" w:cs="Calibri" w:eastAsia="Calibri"/>
                <w:b w:val="0"/>
                <w:i w:val="0"/>
                <w:sz w:val="18"/>
                <w:szCs w:val="18"/>
              </w:rPr>
              <w:t>Yes</w:t>
            </w:r>
          </w:p>
        </w:tc>
      </w:tr>
      <w:tr>
        <w:tc>
          <w:tcPr>
            <w:tcW w:type="dxa" w:w="850"/>
          </w:tcPr>
          <w:p>
            <w:r/>
            <w:r>
              <w:rPr>
                <w:rFonts w:ascii="Calibri" w:hAnsi="Calibri" w:cs="Calibri" w:eastAsia="Calibri"/>
                <w:b w:val="0"/>
                <w:i w:val="0"/>
                <w:sz w:val="18"/>
                <w:szCs w:val="18"/>
              </w:rPr>
              <w:t>SC-02</w:t>
            </w:r>
          </w:p>
        </w:tc>
        <w:tc>
          <w:tcPr>
            <w:tcW w:type="dxa" w:w="4819"/>
          </w:tcPr>
          <w:p>
            <w:r/>
            <w:r>
              <w:rPr>
                <w:rFonts w:ascii="Calibri" w:hAnsi="Calibri" w:cs="Calibri" w:eastAsia="Calibri"/>
                <w:b w:val="0"/>
                <w:i w:val="0"/>
                <w:sz w:val="18"/>
                <w:szCs w:val="18"/>
              </w:rPr>
              <w:t>Confidentiality and data processing agreement (GV-TPL-004) where personal data is processed</w:t>
            </w:r>
          </w:p>
        </w:tc>
        <w:tc>
          <w:tcPr>
            <w:tcW w:type="dxa" w:w="1247"/>
          </w:tcPr>
          <w:p>
            <w:r/>
            <w:r>
              <w:rPr>
                <w:rFonts w:ascii="Calibri" w:hAnsi="Calibri" w:cs="Calibri" w:eastAsia="Calibri"/>
                <w:b w:val="0"/>
                <w:i w:val="0"/>
                <w:sz w:val="18"/>
                <w:szCs w:val="18"/>
              </w:rPr>
              <w:t>Yes</w:t>
            </w:r>
          </w:p>
        </w:tc>
        <w:tc>
          <w:tcPr>
            <w:tcW w:type="dxa" w:w="1247"/>
          </w:tcPr>
          <w:p>
            <w:r/>
            <w:r>
              <w:rPr>
                <w:rFonts w:ascii="Calibri" w:hAnsi="Calibri" w:cs="Calibri" w:eastAsia="Calibri"/>
                <w:b w:val="0"/>
                <w:i w:val="0"/>
                <w:sz w:val="18"/>
                <w:szCs w:val="18"/>
              </w:rPr>
              <w:t>Yes</w:t>
            </w:r>
          </w:p>
        </w:tc>
        <w:tc>
          <w:tcPr>
            <w:tcW w:type="dxa" w:w="1191"/>
          </w:tcPr>
          <w:p>
            <w:r/>
            <w:r>
              <w:rPr>
                <w:rFonts w:ascii="Calibri" w:hAnsi="Calibri" w:cs="Calibri" w:eastAsia="Calibri"/>
                <w:b w:val="0"/>
                <w:i w:val="0"/>
                <w:sz w:val="18"/>
                <w:szCs w:val="18"/>
              </w:rPr>
              <w:t>If applicable</w:t>
            </w:r>
          </w:p>
        </w:tc>
      </w:tr>
      <w:tr>
        <w:tc>
          <w:tcPr>
            <w:tcW w:type="dxa" w:w="850"/>
          </w:tcPr>
          <w:p>
            <w:r/>
            <w:r>
              <w:rPr>
                <w:rFonts w:ascii="Calibri" w:hAnsi="Calibri" w:cs="Calibri" w:eastAsia="Calibri"/>
                <w:b w:val="0"/>
                <w:i w:val="0"/>
                <w:sz w:val="18"/>
                <w:szCs w:val="18"/>
              </w:rPr>
              <w:t>SC-03</w:t>
            </w:r>
          </w:p>
        </w:tc>
        <w:tc>
          <w:tcPr>
            <w:tcW w:type="dxa" w:w="4819"/>
          </w:tcPr>
          <w:p>
            <w:r/>
            <w:r>
              <w:rPr>
                <w:rFonts w:ascii="Calibri" w:hAnsi="Calibri" w:cs="Calibri" w:eastAsia="Calibri"/>
                <w:b w:val="0"/>
                <w:i w:val="0"/>
                <w:sz w:val="18"/>
                <w:szCs w:val="18"/>
              </w:rPr>
              <w:t>Incident notification within 24 hours of awareness and cooperation in investigation</w:t>
            </w:r>
          </w:p>
        </w:tc>
        <w:tc>
          <w:tcPr>
            <w:tcW w:type="dxa" w:w="1247"/>
          </w:tcPr>
          <w:p>
            <w:r/>
            <w:r>
              <w:rPr>
                <w:rFonts w:ascii="Calibri" w:hAnsi="Calibri" w:cs="Calibri" w:eastAsia="Calibri"/>
                <w:b w:val="0"/>
                <w:i w:val="0"/>
                <w:sz w:val="18"/>
                <w:szCs w:val="18"/>
              </w:rPr>
              <w:t>Yes</w:t>
            </w:r>
          </w:p>
        </w:tc>
        <w:tc>
          <w:tcPr>
            <w:tcW w:type="dxa" w:w="1247"/>
          </w:tcPr>
          <w:p>
            <w:r/>
            <w:r>
              <w:rPr>
                <w:rFonts w:ascii="Calibri" w:hAnsi="Calibri" w:cs="Calibri" w:eastAsia="Calibri"/>
                <w:b w:val="0"/>
                <w:i w:val="0"/>
                <w:sz w:val="18"/>
                <w:szCs w:val="18"/>
              </w:rPr>
              <w:t>Yes</w:t>
            </w:r>
          </w:p>
        </w:tc>
        <w:tc>
          <w:tcPr>
            <w:tcW w:type="dxa" w:w="1191"/>
          </w:tcPr>
          <w:p>
            <w:r/>
            <w:r>
              <w:rPr>
                <w:rFonts w:ascii="Calibri" w:hAnsi="Calibri" w:cs="Calibri" w:eastAsia="Calibri"/>
                <w:b w:val="0"/>
                <w:i w:val="0"/>
                <w:sz w:val="18"/>
                <w:szCs w:val="18"/>
              </w:rPr>
              <w:t>No</w:t>
            </w:r>
          </w:p>
        </w:tc>
      </w:tr>
      <w:tr>
        <w:tc>
          <w:tcPr>
            <w:tcW w:type="dxa" w:w="850"/>
          </w:tcPr>
          <w:p>
            <w:r/>
            <w:r>
              <w:rPr>
                <w:rFonts w:ascii="Calibri" w:hAnsi="Calibri" w:cs="Calibri" w:eastAsia="Calibri"/>
                <w:b w:val="0"/>
                <w:i w:val="0"/>
                <w:sz w:val="18"/>
                <w:szCs w:val="18"/>
              </w:rPr>
              <w:t>SC-04</w:t>
            </w:r>
          </w:p>
        </w:tc>
        <w:tc>
          <w:tcPr>
            <w:tcW w:type="dxa" w:w="4819"/>
          </w:tcPr>
          <w:p>
            <w:r/>
            <w:r>
              <w:rPr>
                <w:rFonts w:ascii="Calibri" w:hAnsi="Calibri" w:cs="Calibri" w:eastAsia="Calibri"/>
                <w:b w:val="0"/>
                <w:i w:val="0"/>
                <w:sz w:val="18"/>
                <w:szCs w:val="18"/>
              </w:rPr>
              <w:t>Right to audit or to receive independent assurance reports each year</w:t>
            </w:r>
          </w:p>
        </w:tc>
        <w:tc>
          <w:tcPr>
            <w:tcW w:type="dxa" w:w="1247"/>
          </w:tcPr>
          <w:p>
            <w:r/>
            <w:r>
              <w:rPr>
                <w:rFonts w:ascii="Calibri" w:hAnsi="Calibri" w:cs="Calibri" w:eastAsia="Calibri"/>
                <w:b w:val="0"/>
                <w:i w:val="0"/>
                <w:sz w:val="18"/>
                <w:szCs w:val="18"/>
              </w:rPr>
              <w:t>Yes</w:t>
            </w:r>
          </w:p>
        </w:tc>
        <w:tc>
          <w:tcPr>
            <w:tcW w:type="dxa" w:w="1247"/>
          </w:tcPr>
          <w:p>
            <w:r/>
            <w:r>
              <w:rPr>
                <w:rFonts w:ascii="Calibri" w:hAnsi="Calibri" w:cs="Calibri" w:eastAsia="Calibri"/>
                <w:b w:val="0"/>
                <w:i w:val="0"/>
                <w:sz w:val="18"/>
                <w:szCs w:val="18"/>
              </w:rPr>
              <w:t>On request</w:t>
            </w:r>
          </w:p>
        </w:tc>
        <w:tc>
          <w:tcPr>
            <w:tcW w:type="dxa" w:w="1191"/>
          </w:tcPr>
          <w:p>
            <w:r/>
            <w:r>
              <w:rPr>
                <w:rFonts w:ascii="Calibri" w:hAnsi="Calibri" w:cs="Calibri" w:eastAsia="Calibri"/>
                <w:b w:val="0"/>
                <w:i w:val="0"/>
                <w:sz w:val="18"/>
                <w:szCs w:val="18"/>
              </w:rPr>
              <w:t>No</w:t>
            </w:r>
          </w:p>
        </w:tc>
      </w:tr>
      <w:tr>
        <w:tc>
          <w:tcPr>
            <w:tcW w:type="dxa" w:w="850"/>
          </w:tcPr>
          <w:p>
            <w:r/>
            <w:r>
              <w:rPr>
                <w:rFonts w:ascii="Calibri" w:hAnsi="Calibri" w:cs="Calibri" w:eastAsia="Calibri"/>
                <w:b w:val="0"/>
                <w:i w:val="0"/>
                <w:sz w:val="18"/>
                <w:szCs w:val="18"/>
              </w:rPr>
              <w:t>SC-05</w:t>
            </w:r>
          </w:p>
        </w:tc>
        <w:tc>
          <w:tcPr>
            <w:tcW w:type="dxa" w:w="4819"/>
          </w:tcPr>
          <w:p>
            <w:r/>
            <w:r>
              <w:rPr>
                <w:rFonts w:ascii="Calibri" w:hAnsi="Calibri" w:cs="Calibri" w:eastAsia="Calibri"/>
                <w:b w:val="0"/>
                <w:i w:val="0"/>
                <w:sz w:val="18"/>
                <w:szCs w:val="18"/>
              </w:rPr>
              <w:t>Named personnel, background checks, and MFA for any access</w:t>
            </w:r>
          </w:p>
        </w:tc>
        <w:tc>
          <w:tcPr>
            <w:tcW w:type="dxa" w:w="1247"/>
          </w:tcPr>
          <w:p>
            <w:r/>
            <w:r>
              <w:rPr>
                <w:rFonts w:ascii="Calibri" w:hAnsi="Calibri" w:cs="Calibri" w:eastAsia="Calibri"/>
                <w:b w:val="0"/>
                <w:i w:val="0"/>
                <w:sz w:val="18"/>
                <w:szCs w:val="18"/>
              </w:rPr>
              <w:t>Yes</w:t>
            </w:r>
          </w:p>
        </w:tc>
        <w:tc>
          <w:tcPr>
            <w:tcW w:type="dxa" w:w="1247"/>
          </w:tcPr>
          <w:p>
            <w:r/>
            <w:r>
              <w:rPr>
                <w:rFonts w:ascii="Calibri" w:hAnsi="Calibri" w:cs="Calibri" w:eastAsia="Calibri"/>
                <w:b w:val="0"/>
                <w:i w:val="0"/>
                <w:sz w:val="18"/>
                <w:szCs w:val="18"/>
              </w:rPr>
              <w:t>Yes</w:t>
            </w:r>
          </w:p>
        </w:tc>
        <w:tc>
          <w:tcPr>
            <w:tcW w:type="dxa" w:w="1191"/>
          </w:tcPr>
          <w:p>
            <w:r/>
            <w:r>
              <w:rPr>
                <w:rFonts w:ascii="Calibri" w:hAnsi="Calibri" w:cs="Calibri" w:eastAsia="Calibri"/>
                <w:b w:val="0"/>
                <w:i w:val="0"/>
                <w:sz w:val="18"/>
                <w:szCs w:val="18"/>
              </w:rPr>
              <w:t>No</w:t>
            </w:r>
          </w:p>
        </w:tc>
      </w:tr>
      <w:tr>
        <w:tc>
          <w:tcPr>
            <w:tcW w:type="dxa" w:w="850"/>
          </w:tcPr>
          <w:p>
            <w:r/>
            <w:r>
              <w:rPr>
                <w:rFonts w:ascii="Calibri" w:hAnsi="Calibri" w:cs="Calibri" w:eastAsia="Calibri"/>
                <w:b w:val="0"/>
                <w:i w:val="0"/>
                <w:sz w:val="18"/>
                <w:szCs w:val="18"/>
              </w:rPr>
              <w:t>SC-06</w:t>
            </w:r>
          </w:p>
        </w:tc>
        <w:tc>
          <w:tcPr>
            <w:tcW w:type="dxa" w:w="4819"/>
          </w:tcPr>
          <w:p>
            <w:r/>
            <w:r>
              <w:rPr>
                <w:rFonts w:ascii="Calibri" w:hAnsi="Calibri" w:cs="Calibri" w:eastAsia="Calibri"/>
                <w:b w:val="0"/>
                <w:i w:val="0"/>
                <w:sz w:val="18"/>
                <w:szCs w:val="18"/>
              </w:rPr>
              <w:t>Vulnerability and patch timelines for supplied products</w:t>
            </w:r>
          </w:p>
        </w:tc>
        <w:tc>
          <w:tcPr>
            <w:tcW w:type="dxa" w:w="1247"/>
          </w:tcPr>
          <w:p>
            <w:r/>
            <w:r>
              <w:rPr>
                <w:rFonts w:ascii="Calibri" w:hAnsi="Calibri" w:cs="Calibri" w:eastAsia="Calibri"/>
                <w:b w:val="0"/>
                <w:i w:val="0"/>
                <w:sz w:val="18"/>
                <w:szCs w:val="18"/>
              </w:rPr>
              <w:t>Yes</w:t>
            </w:r>
          </w:p>
        </w:tc>
        <w:tc>
          <w:tcPr>
            <w:tcW w:type="dxa" w:w="1247"/>
          </w:tcPr>
          <w:p>
            <w:r/>
            <w:r>
              <w:rPr>
                <w:rFonts w:ascii="Calibri" w:hAnsi="Calibri" w:cs="Calibri" w:eastAsia="Calibri"/>
                <w:b w:val="0"/>
                <w:i w:val="0"/>
                <w:sz w:val="18"/>
                <w:szCs w:val="18"/>
              </w:rPr>
              <w:t>Yes</w:t>
            </w:r>
          </w:p>
        </w:tc>
        <w:tc>
          <w:tcPr>
            <w:tcW w:type="dxa" w:w="1191"/>
          </w:tcPr>
          <w:p>
            <w:r/>
            <w:r>
              <w:rPr>
                <w:rFonts w:ascii="Calibri" w:hAnsi="Calibri" w:cs="Calibri" w:eastAsia="Calibri"/>
                <w:b w:val="0"/>
                <w:i w:val="0"/>
                <w:sz w:val="18"/>
                <w:szCs w:val="18"/>
              </w:rPr>
              <w:t>No</w:t>
            </w:r>
          </w:p>
        </w:tc>
      </w:tr>
      <w:tr>
        <w:tc>
          <w:tcPr>
            <w:tcW w:type="dxa" w:w="850"/>
          </w:tcPr>
          <w:p>
            <w:r/>
            <w:r>
              <w:rPr>
                <w:rFonts w:ascii="Calibri" w:hAnsi="Calibri" w:cs="Calibri" w:eastAsia="Calibri"/>
                <w:b w:val="0"/>
                <w:i w:val="0"/>
                <w:sz w:val="18"/>
                <w:szCs w:val="18"/>
              </w:rPr>
              <w:t>SC-07</w:t>
            </w:r>
          </w:p>
        </w:tc>
        <w:tc>
          <w:tcPr>
            <w:tcW w:type="dxa" w:w="4819"/>
          </w:tcPr>
          <w:p>
            <w:r/>
            <w:r>
              <w:rPr>
                <w:rFonts w:ascii="Calibri" w:hAnsi="Calibri" w:cs="Calibri" w:eastAsia="Calibri"/>
                <w:b w:val="0"/>
                <w:i w:val="0"/>
                <w:sz w:val="18"/>
                <w:szCs w:val="18"/>
              </w:rPr>
              <w:t>Participation in incident response and continuity exercises (GV.SC-08)</w:t>
            </w:r>
          </w:p>
        </w:tc>
        <w:tc>
          <w:tcPr>
            <w:tcW w:type="dxa" w:w="1247"/>
          </w:tcPr>
          <w:p>
            <w:r/>
            <w:r>
              <w:rPr>
                <w:rFonts w:ascii="Calibri" w:hAnsi="Calibri" w:cs="Calibri" w:eastAsia="Calibri"/>
                <w:b w:val="0"/>
                <w:i w:val="0"/>
                <w:sz w:val="18"/>
                <w:szCs w:val="18"/>
              </w:rPr>
              <w:t>Yes</w:t>
            </w:r>
          </w:p>
        </w:tc>
        <w:tc>
          <w:tcPr>
            <w:tcW w:type="dxa" w:w="1247"/>
          </w:tcPr>
          <w:p>
            <w:r/>
            <w:r>
              <w:rPr>
                <w:rFonts w:ascii="Calibri" w:hAnsi="Calibri" w:cs="Calibri" w:eastAsia="Calibri"/>
                <w:b w:val="0"/>
                <w:i w:val="0"/>
                <w:sz w:val="18"/>
                <w:szCs w:val="18"/>
              </w:rPr>
              <w:t>No</w:t>
            </w:r>
          </w:p>
        </w:tc>
        <w:tc>
          <w:tcPr>
            <w:tcW w:type="dxa" w:w="1191"/>
          </w:tcPr>
          <w:p>
            <w:r/>
            <w:r>
              <w:rPr>
                <w:rFonts w:ascii="Calibri" w:hAnsi="Calibri" w:cs="Calibri" w:eastAsia="Calibri"/>
                <w:b w:val="0"/>
                <w:i w:val="0"/>
                <w:sz w:val="18"/>
                <w:szCs w:val="18"/>
              </w:rPr>
              <w:t>No</w:t>
            </w:r>
          </w:p>
        </w:tc>
      </w:tr>
      <w:tr>
        <w:tc>
          <w:tcPr>
            <w:tcW w:type="dxa" w:w="850"/>
          </w:tcPr>
          <w:p>
            <w:r/>
            <w:r>
              <w:rPr>
                <w:rFonts w:ascii="Calibri" w:hAnsi="Calibri" w:cs="Calibri" w:eastAsia="Calibri"/>
                <w:b w:val="0"/>
                <w:i w:val="0"/>
                <w:sz w:val="18"/>
                <w:szCs w:val="18"/>
              </w:rPr>
              <w:t>SC-08</w:t>
            </w:r>
          </w:p>
        </w:tc>
        <w:tc>
          <w:tcPr>
            <w:tcW w:type="dxa" w:w="4819"/>
          </w:tcPr>
          <w:p>
            <w:r/>
            <w:r>
              <w:rPr>
                <w:rFonts w:ascii="Calibri" w:hAnsi="Calibri" w:cs="Calibri" w:eastAsia="Calibri"/>
                <w:b w:val="0"/>
                <w:i w:val="0"/>
                <w:sz w:val="18"/>
                <w:szCs w:val="18"/>
              </w:rPr>
              <w:t>Sub-contractor approval and flow-down of requirements</w:t>
            </w:r>
          </w:p>
        </w:tc>
        <w:tc>
          <w:tcPr>
            <w:tcW w:type="dxa" w:w="1247"/>
          </w:tcPr>
          <w:p>
            <w:r/>
            <w:r>
              <w:rPr>
                <w:rFonts w:ascii="Calibri" w:hAnsi="Calibri" w:cs="Calibri" w:eastAsia="Calibri"/>
                <w:b w:val="0"/>
                <w:i w:val="0"/>
                <w:sz w:val="18"/>
                <w:szCs w:val="18"/>
              </w:rPr>
              <w:t>Yes</w:t>
            </w:r>
          </w:p>
        </w:tc>
        <w:tc>
          <w:tcPr>
            <w:tcW w:type="dxa" w:w="1247"/>
          </w:tcPr>
          <w:p>
            <w:r/>
            <w:r>
              <w:rPr>
                <w:rFonts w:ascii="Calibri" w:hAnsi="Calibri" w:cs="Calibri" w:eastAsia="Calibri"/>
                <w:b w:val="0"/>
                <w:i w:val="0"/>
                <w:sz w:val="18"/>
                <w:szCs w:val="18"/>
              </w:rPr>
              <w:t>Yes</w:t>
            </w:r>
          </w:p>
        </w:tc>
        <w:tc>
          <w:tcPr>
            <w:tcW w:type="dxa" w:w="1191"/>
          </w:tcPr>
          <w:p>
            <w:r/>
            <w:r>
              <w:rPr>
                <w:rFonts w:ascii="Calibri" w:hAnsi="Calibri" w:cs="Calibri" w:eastAsia="Calibri"/>
                <w:b w:val="0"/>
                <w:i w:val="0"/>
                <w:sz w:val="18"/>
                <w:szCs w:val="18"/>
              </w:rPr>
              <w:t>No</w:t>
            </w:r>
          </w:p>
        </w:tc>
      </w:tr>
      <w:tr>
        <w:tc>
          <w:tcPr>
            <w:tcW w:type="dxa" w:w="850"/>
          </w:tcPr>
          <w:p>
            <w:r/>
            <w:r>
              <w:rPr>
                <w:rFonts w:ascii="Calibri" w:hAnsi="Calibri" w:cs="Calibri" w:eastAsia="Calibri"/>
                <w:b w:val="0"/>
                <w:i w:val="0"/>
                <w:sz w:val="18"/>
                <w:szCs w:val="18"/>
              </w:rPr>
              <w:t>SC-09</w:t>
            </w:r>
          </w:p>
        </w:tc>
        <w:tc>
          <w:tcPr>
            <w:tcW w:type="dxa" w:w="4819"/>
          </w:tcPr>
          <w:p>
            <w:r/>
            <w:r>
              <w:rPr>
                <w:rFonts w:ascii="Calibri" w:hAnsi="Calibri" w:cs="Calibri" w:eastAsia="Calibri"/>
                <w:b w:val="0"/>
                <w:i w:val="0"/>
                <w:sz w:val="18"/>
                <w:szCs w:val="18"/>
              </w:rPr>
              <w:t>Return and certified deletion of data at contract end (GV.SC-10)</w:t>
            </w:r>
          </w:p>
        </w:tc>
        <w:tc>
          <w:tcPr>
            <w:tcW w:type="dxa" w:w="1247"/>
          </w:tcPr>
          <w:p>
            <w:r/>
            <w:r>
              <w:rPr>
                <w:rFonts w:ascii="Calibri" w:hAnsi="Calibri" w:cs="Calibri" w:eastAsia="Calibri"/>
                <w:b w:val="0"/>
                <w:i w:val="0"/>
                <w:sz w:val="18"/>
                <w:szCs w:val="18"/>
              </w:rPr>
              <w:t>Yes</w:t>
            </w:r>
          </w:p>
        </w:tc>
        <w:tc>
          <w:tcPr>
            <w:tcW w:type="dxa" w:w="1247"/>
          </w:tcPr>
          <w:p>
            <w:r/>
            <w:r>
              <w:rPr>
                <w:rFonts w:ascii="Calibri" w:hAnsi="Calibri" w:cs="Calibri" w:eastAsia="Calibri"/>
                <w:b w:val="0"/>
                <w:i w:val="0"/>
                <w:sz w:val="18"/>
                <w:szCs w:val="18"/>
              </w:rPr>
              <w:t>Yes</w:t>
            </w:r>
          </w:p>
        </w:tc>
        <w:tc>
          <w:tcPr>
            <w:tcW w:type="dxa" w:w="1191"/>
          </w:tcPr>
          <w:p>
            <w:r/>
            <w:r>
              <w:rPr>
                <w:rFonts w:ascii="Calibri" w:hAnsi="Calibri" w:cs="Calibri" w:eastAsia="Calibri"/>
                <w:b w:val="0"/>
                <w:i w:val="0"/>
                <w:sz w:val="18"/>
                <w:szCs w:val="18"/>
              </w:rPr>
              <w:t>If applicable</w:t>
            </w:r>
          </w:p>
        </w:tc>
      </w:tr>
      <w:tr>
        <w:tc>
          <w:tcPr>
            <w:tcW w:type="dxa" w:w="850"/>
          </w:tcPr>
          <w:p>
            <w:r/>
            <w:r>
              <w:rPr>
                <w:rFonts w:ascii="Calibri" w:hAnsi="Calibri" w:cs="Calibri" w:eastAsia="Calibri"/>
                <w:b w:val="0"/>
                <w:i w:val="0"/>
                <w:sz w:val="18"/>
                <w:szCs w:val="18"/>
              </w:rPr>
              <w:t>SC-10</w:t>
            </w:r>
          </w:p>
        </w:tc>
        <w:tc>
          <w:tcPr>
            <w:tcW w:type="dxa" w:w="4819"/>
          </w:tcPr>
          <w:p>
            <w:r/>
            <w:r>
              <w:rPr>
                <w:rFonts w:ascii="Calibri" w:hAnsi="Calibri" w:cs="Calibri" w:eastAsia="Calibri"/>
                <w:b w:val="0"/>
                <w:i w:val="0"/>
                <w:sz w:val="18"/>
                <w:szCs w:val="18"/>
              </w:rPr>
              <w:t>Service levels for availability and recovery aligned with the BIA</w:t>
            </w:r>
          </w:p>
        </w:tc>
        <w:tc>
          <w:tcPr>
            <w:tcW w:type="dxa" w:w="1247"/>
          </w:tcPr>
          <w:p>
            <w:r/>
            <w:r>
              <w:rPr>
                <w:rFonts w:ascii="Calibri" w:hAnsi="Calibri" w:cs="Calibri" w:eastAsia="Calibri"/>
                <w:b w:val="0"/>
                <w:i w:val="0"/>
                <w:sz w:val="18"/>
                <w:szCs w:val="18"/>
              </w:rPr>
              <w:t>Yes</w:t>
            </w:r>
          </w:p>
        </w:tc>
        <w:tc>
          <w:tcPr>
            <w:tcW w:type="dxa" w:w="1247"/>
          </w:tcPr>
          <w:p>
            <w:r/>
            <w:r>
              <w:rPr>
                <w:rFonts w:ascii="Calibri" w:hAnsi="Calibri" w:cs="Calibri" w:eastAsia="Calibri"/>
                <w:b w:val="0"/>
                <w:i w:val="0"/>
                <w:sz w:val="18"/>
                <w:szCs w:val="18"/>
              </w:rPr>
              <w:t>If critical</w:t>
            </w:r>
          </w:p>
        </w:tc>
        <w:tc>
          <w:tcPr>
            <w:tcW w:type="dxa" w:w="1191"/>
          </w:tcPr>
          <w:p>
            <w:r/>
            <w:r>
              <w:rPr>
                <w:rFonts w:ascii="Calibri" w:hAnsi="Calibri" w:cs="Calibri" w:eastAsia="Calibri"/>
                <w:b w:val="0"/>
                <w:i w:val="0"/>
                <w:sz w:val="18"/>
                <w:szCs w:val="18"/>
              </w:rPr>
              <w:t>No</w:t>
            </w:r>
          </w:p>
        </w:tc>
      </w:tr>
    </w:tbl>
    <w:p>
      <w:pPr>
        <w:spacing w:after="40"/>
      </w:pPr>
    </w:p>
    <w:p>
      <w:pPr>
        <w:pStyle w:val="Heading2"/>
        <w:keepNext/>
        <w:spacing w:before="120" w:after="80"/>
      </w:pPr>
      <w:r>
        <w:rPr>
          <w:rFonts w:ascii="Calibri" w:hAnsi="Calibri" w:cs="Calibri" w:eastAsia="Calibri"/>
          <w:b/>
          <w:i w:val="0"/>
          <w:color w:val="1F3864"/>
          <w:sz w:val="24"/>
          <w:szCs w:val="24"/>
          <w:bCs/>
        </w:rPr>
        <w:t>4.4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standard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Create a standard security schedule that Legal attaches to every contract, rather than negotiating clauses one by one.</w:t>
      </w:r>
    </w:p>
    <w:p>
      <w:pPr>
        <w:pStyle w:val="ListBullet"/>
        <w:spacing w:after="40"/>
      </w:pPr>
      <w:r>
        <w:rPr>
          <w:rFonts w:ascii="Calibri" w:hAnsi="Calibri" w:cs="Calibri" w:eastAsia="Calibri"/>
          <w:b w:val="0"/>
          <w:i w:val="0"/>
          <w:sz w:val="21"/>
          <w:szCs w:val="21"/>
        </w:rPr>
        <w:t>Align incident notice periods with your own legal deadlines (72 hours to the PDPC; 24 hours for CII reporting).</w:t>
      </w:r>
    </w:p>
    <w:p>
      <w:pPr>
        <w:pStyle w:val="ListBullet"/>
        <w:spacing w:after="40"/>
      </w:pPr>
      <w:r>
        <w:rPr>
          <w:rFonts w:ascii="Calibri" w:hAnsi="Calibri" w:cs="Calibri" w:eastAsia="Calibri"/>
          <w:b w:val="0"/>
          <w:i w:val="0"/>
          <w:sz w:val="21"/>
          <w:szCs w:val="21"/>
        </w:rPr>
        <w:t>Add security requirements at renewal for legacy contracts that lack them.</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Signing multi-year vendor contracts with no right to audit and no incident notice clause.</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GV.SC-05: Requirements to address supply chain risks are established, prioritized, and integrated into contracts</w:t>
            </w:r>
          </w:p>
          <w:p>
            <w:r>
              <w:rPr>
                <w:rFonts w:ascii="Calibri" w:hAnsi="Calibri" w:cs="Calibri" w:eastAsia="Calibri"/>
                <w:b w:val="0"/>
                <w:i w:val="0"/>
                <w:sz w:val="18"/>
                <w:szCs w:val="18"/>
              </w:rPr>
              <w:t>GV.SC-08: Relevant suppliers are included in incident planning, response, and recovery activities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A.5.20, Annex A.5.21</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SA-4, SA-9, SR-5</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5.20; PDPA s.40</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GV-POL-006: Third-Party and Supply Chain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GV-TPL-004: Data Processing Agreement Template</w:t>
            </w:r>
          </w:p>
          <w:p>
            <w:r>
              <w:rPr>
                <w:rFonts w:ascii="Calibri" w:hAnsi="Calibri" w:cs="Calibri" w:eastAsia="Calibri"/>
                <w:b w:val="0"/>
                <w:i w:val="0"/>
                <w:sz w:val="18"/>
                <w:szCs w:val="18"/>
              </w:rPr>
              <w:t>DE-GDL-001: Managed Security Service Provider (MSSP) Requirements Guideline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GV-STD-002  |  Supplier Security Requirements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