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Secure Acquisition Standard</w:t>
      </w:r>
    </w:p>
    <w:p>
      <w:pPr>
        <w:spacing w:after="80" w:before="0"/>
      </w:pPr>
      <w:r>
        <w:rPr>
          <w:rFonts w:ascii="Calibri" w:hAnsi="Calibri" w:cs="Calibri" w:eastAsia="Calibri"/>
          <w:b w:val="0"/>
          <w:i w:val="0"/>
          <w:color w:val="595959"/>
          <w:sz w:val="18"/>
          <w:szCs w:val="18"/>
        </w:rPr>
        <w:t>GV-STD-003  |  Standard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GV-STD-003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Secure Acquisition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10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10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5.21 and 5.23; NIST SP 800-161 Rev.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Third Party, Cloud</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19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10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security requirements for acquiring hardware, software, and services, including authenticity, integrity, and supplier assessment before purchase (GV.SC-09, ID.RA-09, ID.RA-10).</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Acquisition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requirements that apply before purchase and before deployment.</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020"/>
        <w:gridCol w:w="8334"/>
      </w:tblGrid>
      <w:tr>
        <w:trPr>
          <w:tblHeader w:val="true"/>
        </w:trPr>
        <w:tc>
          <w:tcPr>
            <w:tcW w:type="dxa" w:w="1020"/>
            <w:shd w:val="clear" w:color="auto" w:fill="1F3864"/>
          </w:tcPr>
          <w:p>
            <w:r/>
            <w:r>
              <w:rPr>
                <w:rFonts w:ascii="Calibri" w:hAnsi="Calibri" w:cs="Calibri" w:eastAsia="Calibri"/>
                <w:b/>
                <w:i w:val="0"/>
                <w:color w:val="FFFFFF"/>
                <w:sz w:val="18"/>
                <w:szCs w:val="18"/>
                <w:bCs/>
              </w:rPr>
              <w:t>ID</w:t>
            </w:r>
          </w:p>
        </w:tc>
        <w:tc>
          <w:tcPr>
            <w:tcW w:type="dxa" w:w="8334"/>
            <w:shd w:val="clear" w:color="auto" w:fill="1F3864"/>
          </w:tcPr>
          <w:p>
            <w:r/>
            <w:r>
              <w:rPr>
                <w:rFonts w:ascii="Calibri" w:hAnsi="Calibri" w:cs="Calibri" w:eastAsia="Calibri"/>
                <w:b/>
                <w:i w:val="0"/>
                <w:color w:val="FFFFFF"/>
                <w:sz w:val="18"/>
                <w:szCs w:val="18"/>
                <w:bCs/>
              </w:rPr>
              <w:t>CMC requirement</w:t>
            </w:r>
          </w:p>
        </w:tc>
      </w:tr>
      <w:tr>
        <w:tc>
          <w:tcPr>
            <w:tcW w:type="dxa" w:w="1020"/>
          </w:tcPr>
          <w:p>
            <w:r/>
            <w:r>
              <w:rPr>
                <w:rFonts w:ascii="Calibri" w:hAnsi="Calibri" w:cs="Calibri" w:eastAsia="Calibri"/>
                <w:b w:val="0"/>
                <w:i w:val="0"/>
                <w:sz w:val="18"/>
                <w:szCs w:val="18"/>
              </w:rPr>
              <w:t>ACQ-01</w:t>
            </w:r>
          </w:p>
        </w:tc>
        <w:tc>
          <w:tcPr>
            <w:tcW w:type="dxa" w:w="8334"/>
          </w:tcPr>
          <w:p>
            <w:r/>
            <w:r>
              <w:rPr>
                <w:rFonts w:ascii="Calibri" w:hAnsi="Calibri" w:cs="Calibri" w:eastAsia="Calibri"/>
                <w:b w:val="0"/>
                <w:i w:val="0"/>
                <w:sz w:val="18"/>
                <w:szCs w:val="18"/>
              </w:rPr>
              <w:t>Security requirements annex attached to every IT and medical equipment RFP since 2025.</w:t>
            </w:r>
          </w:p>
        </w:tc>
      </w:tr>
      <w:tr>
        <w:tc>
          <w:tcPr>
            <w:tcW w:type="dxa" w:w="1020"/>
          </w:tcPr>
          <w:p>
            <w:r/>
            <w:r>
              <w:rPr>
                <w:rFonts w:ascii="Calibri" w:hAnsi="Calibri" w:cs="Calibri" w:eastAsia="Calibri"/>
                <w:b w:val="0"/>
                <w:i w:val="0"/>
                <w:sz w:val="18"/>
                <w:szCs w:val="18"/>
              </w:rPr>
              <w:t>ACQ-02</w:t>
            </w:r>
          </w:p>
        </w:tc>
        <w:tc>
          <w:tcPr>
            <w:tcW w:type="dxa" w:w="8334"/>
          </w:tcPr>
          <w:p>
            <w:r/>
            <w:r>
              <w:rPr>
                <w:rFonts w:ascii="Calibri" w:hAnsi="Calibri" w:cs="Calibri" w:eastAsia="Calibri"/>
                <w:b w:val="0"/>
                <w:i w:val="0"/>
                <w:sz w:val="18"/>
                <w:szCs w:val="18"/>
              </w:rPr>
              <w:t>Medical devices bought only through manufacturer-authorized distributors.</w:t>
            </w:r>
          </w:p>
        </w:tc>
      </w:tr>
      <w:tr>
        <w:tc>
          <w:tcPr>
            <w:tcW w:type="dxa" w:w="1020"/>
          </w:tcPr>
          <w:p>
            <w:r/>
            <w:r>
              <w:rPr>
                <w:rFonts w:ascii="Calibri" w:hAnsi="Calibri" w:cs="Calibri" w:eastAsia="Calibri"/>
                <w:b w:val="0"/>
                <w:i w:val="0"/>
                <w:sz w:val="18"/>
                <w:szCs w:val="18"/>
              </w:rPr>
              <w:t>ACQ-03</w:t>
            </w:r>
          </w:p>
        </w:tc>
        <w:tc>
          <w:tcPr>
            <w:tcW w:type="dxa" w:w="8334"/>
          </w:tcPr>
          <w:p>
            <w:r/>
            <w:r>
              <w:rPr>
                <w:rFonts w:ascii="Calibri" w:hAnsi="Calibri" w:cs="Calibri" w:eastAsia="Calibri"/>
                <w:b w:val="0"/>
                <w:i w:val="0"/>
                <w:sz w:val="18"/>
                <w:szCs w:val="18"/>
              </w:rPr>
              <w:t>Minimum 7 years of security patch support for medical devices; 5 years for IT systems.</w:t>
            </w:r>
          </w:p>
        </w:tc>
      </w:tr>
      <w:tr>
        <w:tc>
          <w:tcPr>
            <w:tcW w:type="dxa" w:w="1020"/>
          </w:tcPr>
          <w:p>
            <w:r/>
            <w:r>
              <w:rPr>
                <w:rFonts w:ascii="Calibri" w:hAnsi="Calibri" w:cs="Calibri" w:eastAsia="Calibri"/>
                <w:b w:val="0"/>
                <w:i w:val="0"/>
                <w:sz w:val="18"/>
                <w:szCs w:val="18"/>
              </w:rPr>
              <w:t>ACQ-04</w:t>
            </w:r>
          </w:p>
        </w:tc>
        <w:tc>
          <w:tcPr>
            <w:tcW w:type="dxa" w:w="8334"/>
          </w:tcPr>
          <w:p>
            <w:r/>
            <w:r>
              <w:rPr>
                <w:rFonts w:ascii="Calibri" w:hAnsi="Calibri" w:cs="Calibri" w:eastAsia="Calibri"/>
                <w:b w:val="0"/>
                <w:i w:val="0"/>
                <w:sz w:val="18"/>
                <w:szCs w:val="18"/>
              </w:rPr>
              <w:t>SBOM requested for all new imaging and laboratory devices from 2026.</w:t>
            </w:r>
          </w:p>
        </w:tc>
      </w:tr>
      <w:tr>
        <w:tc>
          <w:tcPr>
            <w:tcW w:type="dxa" w:w="1020"/>
          </w:tcPr>
          <w:p>
            <w:r/>
            <w:r>
              <w:rPr>
                <w:rFonts w:ascii="Calibri" w:hAnsi="Calibri" w:cs="Calibri" w:eastAsia="Calibri"/>
                <w:b w:val="0"/>
                <w:i w:val="0"/>
                <w:sz w:val="18"/>
                <w:szCs w:val="18"/>
              </w:rPr>
              <w:t>ACQ-05</w:t>
            </w:r>
          </w:p>
        </w:tc>
        <w:tc>
          <w:tcPr>
            <w:tcW w:type="dxa" w:w="8334"/>
          </w:tcPr>
          <w:p>
            <w:r/>
            <w:r>
              <w:rPr>
                <w:rFonts w:ascii="Calibri" w:hAnsi="Calibri" w:cs="Calibri" w:eastAsia="Calibri"/>
                <w:b w:val="0"/>
                <w:i w:val="0"/>
                <w:sz w:val="18"/>
                <w:szCs w:val="18"/>
              </w:rPr>
              <w:t>Vendor assessment completed before contract for HIS, PACS, LIS, and MSSP.</w:t>
            </w:r>
          </w:p>
        </w:tc>
      </w:tr>
      <w:tr>
        <w:tc>
          <w:tcPr>
            <w:tcW w:type="dxa" w:w="1020"/>
          </w:tcPr>
          <w:p>
            <w:r/>
            <w:r>
              <w:rPr>
                <w:rFonts w:ascii="Calibri" w:hAnsi="Calibri" w:cs="Calibri" w:eastAsia="Calibri"/>
                <w:b w:val="0"/>
                <w:i w:val="0"/>
                <w:sz w:val="18"/>
                <w:szCs w:val="18"/>
              </w:rPr>
              <w:t>ACQ-06</w:t>
            </w:r>
          </w:p>
        </w:tc>
        <w:tc>
          <w:tcPr>
            <w:tcW w:type="dxa" w:w="8334"/>
          </w:tcPr>
          <w:p>
            <w:r/>
            <w:r>
              <w:rPr>
                <w:rFonts w:ascii="Calibri" w:hAnsi="Calibri" w:cs="Calibri" w:eastAsia="Calibri"/>
                <w:b w:val="0"/>
                <w:i w:val="0"/>
                <w:sz w:val="18"/>
                <w:szCs w:val="18"/>
              </w:rPr>
              <w:t>Vulnerability scan of new medical devices in the biomedical engineering lab before connection.</w:t>
            </w:r>
          </w:p>
        </w:tc>
      </w:tr>
      <w:tr>
        <w:tc>
          <w:tcPr>
            <w:tcW w:type="dxa" w:w="1020"/>
          </w:tcPr>
          <w:p>
            <w:r/>
            <w:r>
              <w:rPr>
                <w:rFonts w:ascii="Calibri" w:hAnsi="Calibri" w:cs="Calibri" w:eastAsia="Calibri"/>
                <w:b w:val="0"/>
                <w:i w:val="0"/>
                <w:sz w:val="18"/>
                <w:szCs w:val="18"/>
              </w:rPr>
              <w:t>ACQ-07</w:t>
            </w:r>
          </w:p>
        </w:tc>
        <w:tc>
          <w:tcPr>
            <w:tcW w:type="dxa" w:w="8334"/>
          </w:tcPr>
          <w:p>
            <w:r/>
            <w:r>
              <w:rPr>
                <w:rFonts w:ascii="Calibri" w:hAnsi="Calibri" w:cs="Calibri" w:eastAsia="Calibri"/>
                <w:b w:val="0"/>
                <w:i w:val="0"/>
                <w:sz w:val="18"/>
                <w:szCs w:val="18"/>
              </w:rPr>
              <w:t>Cloud services reviewed by the Security Manager and DPO.</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Involve security at requirement definition, not after vendor selection.</w:t>
      </w:r>
    </w:p>
    <w:p>
      <w:pPr>
        <w:pStyle w:val="ListBullet"/>
        <w:spacing w:after="40"/>
      </w:pPr>
      <w:r>
        <w:rPr>
          <w:rFonts w:ascii="Calibri" w:hAnsi="Calibri" w:cs="Calibri" w:eastAsia="Calibri"/>
          <w:b w:val="0"/>
          <w:i w:val="0"/>
          <w:sz w:val="21"/>
          <w:szCs w:val="21"/>
        </w:rPr>
        <w:t>Score security requirements in vendor evaluation with a defined weight.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Buying medical or OT equipment whose operating system goes out of support within two years of purchase.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GV.SC-09: Supply chain security practices are integrated and monitored throughout the technology product and service life cycle</w:t>
            </w:r>
          </w:p>
          <w:p>
            <w:r>
              <w:rPr>
                <w:rFonts w:ascii="Calibri" w:hAnsi="Calibri" w:cs="Calibri" w:eastAsia="Calibri"/>
                <w:b w:val="0"/>
                <w:i w:val="0"/>
                <w:sz w:val="18"/>
                <w:szCs w:val="18"/>
              </w:rPr>
              <w:t>ID.RA-09: The authenticity and integrity of hardware and software are assessed prior to acquisition and use</w:t>
            </w:r>
          </w:p>
          <w:p>
            <w:r>
              <w:rPr>
                <w:rFonts w:ascii="Calibri" w:hAnsi="Calibri" w:cs="Calibri" w:eastAsia="Calibri"/>
                <w:b w:val="0"/>
                <w:i w:val="0"/>
                <w:sz w:val="18"/>
                <w:szCs w:val="18"/>
              </w:rPr>
              <w:t>ID.RA-10: Critical suppliers are assessed prior to acquisition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A.5.21, Annex A.5.23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SA-4, SR-3, SR-11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5.21 and 5.23; NIST SP 800-161 Rev.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GV-POL-006: Third-Party and Supply Chain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GV-STD-003  |  Secure Acquisition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