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Media Sanitization and Disposal Record</w:t>
      </w:r>
    </w:p>
    <w:p>
      <w:pPr>
        <w:spacing w:after="80" w:before="0"/>
      </w:pPr>
      <w:r>
        <w:rPr>
          <w:rFonts w:ascii="Calibri" w:hAnsi="Calibri" w:cs="Calibri" w:eastAsia="Calibri"/>
          <w:b w:val="0"/>
          <w:i w:val="0"/>
          <w:color w:val="595959"/>
          <w:sz w:val="18"/>
          <w:szCs w:val="18"/>
        </w:rPr>
        <w:t>ID-FRM-001  |  Form  |  Asset Management (ID.AM)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ID-FRM-001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Media Sanitization and Disposal Record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12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12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Asset Management (ID.AM)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7.14 and 8.10; PDPA s.37(3); NIST SP 800-88</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Physical (A.7); tags: Technology, Legal and Regulatory, Privacy,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8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IT Infrastructure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12 July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IT Infrastructure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record documents the sanitization or destruction of storage media and devices before disposal, reuse, or return, as evidence that data cannot be recovered.</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(ID-PRC-001) and covers the activities that document defines.</w:t>
      </w:r>
    </w:p>
    <w:p>
      <w:pPr>
        <w:pStyle w:val="Heading2"/>
        <w:keepNext/>
        <w:spacing w:before="120" w:after="80"/>
      </w:pPr>
      <w:r>
        <w:rPr>
          <w:rFonts w:ascii="Calibri" w:hAnsi="Calibri" w:cs="Calibri" w:eastAsia="Calibri"/>
          <w:b/>
          <w:i w:val="0"/>
          <w:color w:val="1F3864"/>
          <w:sz w:val="24"/>
          <w:szCs w:val="24"/>
          <w:bCs/>
        </w:rPr>
        <w:t>4.3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Record number</w:t>
            </w:r>
          </w:p>
        </w:tc>
        <w:tc>
          <w:tcPr>
            <w:tcW w:type="dxa" w:w="3628"/>
          </w:tcPr>
          <w:p>
            <w:r/>
            <w:r>
              <w:rPr>
                <w:rFonts w:ascii="Calibri" w:hAnsi="Calibri" w:cs="Calibri" w:eastAsia="Calibri"/>
                <w:b w:val="0"/>
                <w:i w:val="0"/>
                <w:sz w:val="18"/>
                <w:szCs w:val="18"/>
              </w:rPr>
              <w:t>Unique reference.</w:t>
            </w:r>
          </w:p>
        </w:tc>
        <w:tc>
          <w:tcPr>
            <w:tcW w:type="dxa" w:w="2835"/>
          </w:tcPr>
          <w:p>
            <w:r/>
            <w:r>
              <w:rPr>
                <w:rFonts w:ascii="Calibri" w:hAnsi="Calibri" w:cs="Calibri" w:eastAsia="Calibri"/>
                <w:b w:val="0"/>
                <w:i w:val="0"/>
                <w:sz w:val="18"/>
                <w:szCs w:val="18"/>
              </w:rPr>
              <w:t>DSP-2026-044</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Asset ID and serial number</w:t>
            </w:r>
          </w:p>
        </w:tc>
        <w:tc>
          <w:tcPr>
            <w:tcW w:type="dxa" w:w="3628"/>
          </w:tcPr>
          <w:p>
            <w:r/>
            <w:r>
              <w:rPr>
                <w:rFonts w:ascii="Calibri" w:hAnsi="Calibri" w:cs="Calibri" w:eastAsia="Calibri"/>
                <w:b w:val="0"/>
                <w:i w:val="0"/>
                <w:sz w:val="18"/>
                <w:szCs w:val="18"/>
              </w:rPr>
              <w:t>From inventory.</w:t>
            </w:r>
          </w:p>
        </w:tc>
        <w:tc>
          <w:tcPr>
            <w:tcW w:type="dxa" w:w="2835"/>
          </w:tcPr>
          <w:p>
            <w:r/>
            <w:r>
              <w:rPr>
                <w:rFonts w:ascii="Calibri" w:hAnsi="Calibri" w:cs="Calibri" w:eastAsia="Calibri"/>
                <w:b w:val="0"/>
                <w:i w:val="0"/>
                <w:sz w:val="18"/>
                <w:szCs w:val="18"/>
              </w:rPr>
              <w:t>WS-OPD-118 / S/N 5CD0xxxxx</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Media type</w:t>
            </w:r>
          </w:p>
        </w:tc>
        <w:tc>
          <w:tcPr>
            <w:tcW w:type="dxa" w:w="3628"/>
          </w:tcPr>
          <w:p>
            <w:r/>
            <w:r>
              <w:rPr>
                <w:rFonts w:ascii="Calibri" w:hAnsi="Calibri" w:cs="Calibri" w:eastAsia="Calibri"/>
                <w:b w:val="0"/>
                <w:i w:val="0"/>
                <w:sz w:val="18"/>
                <w:szCs w:val="18"/>
              </w:rPr>
              <w:t>HDD, SSD, tape, USB, mobile, embedded storage.</w:t>
            </w:r>
          </w:p>
        </w:tc>
        <w:tc>
          <w:tcPr>
            <w:tcW w:type="dxa" w:w="2835"/>
          </w:tcPr>
          <w:p>
            <w:r/>
            <w:r>
              <w:rPr>
                <w:rFonts w:ascii="Calibri" w:hAnsi="Calibri" w:cs="Calibri" w:eastAsia="Calibri"/>
                <w:b w:val="0"/>
                <w:i w:val="0"/>
                <w:sz w:val="18"/>
                <w:szCs w:val="18"/>
              </w:rPr>
              <w:t>SSD 256 GB</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Highest data class</w:t>
            </w:r>
          </w:p>
        </w:tc>
        <w:tc>
          <w:tcPr>
            <w:tcW w:type="dxa" w:w="3628"/>
          </w:tcPr>
          <w:p>
            <w:r/>
            <w:r>
              <w:rPr>
                <w:rFonts w:ascii="Calibri" w:hAnsi="Calibri" w:cs="Calibri" w:eastAsia="Calibri"/>
                <w:b w:val="0"/>
                <w:i w:val="0"/>
                <w:sz w:val="18"/>
                <w:szCs w:val="18"/>
              </w:rPr>
              <w:t>Per PR-STD-004.</w:t>
            </w:r>
          </w:p>
        </w:tc>
        <w:tc>
          <w:tcPr>
            <w:tcW w:type="dxa" w:w="2835"/>
          </w:tcPr>
          <w:p>
            <w:r/>
            <w:r>
              <w:rPr>
                <w:rFonts w:ascii="Calibri" w:hAnsi="Calibri" w:cs="Calibri" w:eastAsia="Calibri"/>
                <w:b w:val="0"/>
                <w:i w:val="0"/>
                <w:sz w:val="18"/>
                <w:szCs w:val="18"/>
              </w:rPr>
              <w:t>Restricted (patient data)</w:t>
            </w:r>
          </w:p>
        </w:tc>
      </w:tr>
      <w:tr>
        <w:tc>
          <w:tcPr>
            <w:tcW w:type="dxa" w:w="62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Method (NIST SP 800-88)</w:t>
            </w:r>
          </w:p>
        </w:tc>
        <w:tc>
          <w:tcPr>
            <w:tcW w:type="dxa" w:w="3628"/>
          </w:tcPr>
          <w:p>
            <w:r/>
            <w:r>
              <w:rPr>
                <w:rFonts w:ascii="Calibri" w:hAnsi="Calibri" w:cs="Calibri" w:eastAsia="Calibri"/>
                <w:b w:val="0"/>
                <w:i w:val="0"/>
                <w:sz w:val="18"/>
                <w:szCs w:val="18"/>
              </w:rPr>
              <w:t>Clear, Purge, or Destroy, with tool used.</w:t>
            </w:r>
          </w:p>
        </w:tc>
        <w:tc>
          <w:tcPr>
            <w:tcW w:type="dxa" w:w="2835"/>
          </w:tcPr>
          <w:p>
            <w:r/>
            <w:r>
              <w:rPr>
                <w:rFonts w:ascii="Calibri" w:hAnsi="Calibri" w:cs="Calibri" w:eastAsia="Calibri"/>
                <w:b w:val="0"/>
                <w:i w:val="0"/>
                <w:sz w:val="18"/>
                <w:szCs w:val="18"/>
              </w:rPr>
              <w:t>Purge: cryptographic erase using manufacturer tool, then physical destruction by vendor</w:t>
            </w:r>
          </w:p>
        </w:tc>
      </w:tr>
      <w:tr>
        <w:tc>
          <w:tcPr>
            <w:tcW w:type="dxa" w:w="62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Performed by and date</w:t>
            </w:r>
          </w:p>
        </w:tc>
        <w:tc>
          <w:tcPr>
            <w:tcW w:type="dxa" w:w="3628"/>
          </w:tcPr>
          <w:p>
            <w:r/>
            <w:r>
              <w:rPr>
                <w:rFonts w:ascii="Calibri" w:hAnsi="Calibri" w:cs="Calibri" w:eastAsia="Calibri"/>
                <w:b w:val="0"/>
                <w:i w:val="0"/>
                <w:sz w:val="18"/>
                <w:szCs w:val="18"/>
              </w:rPr>
              <w:t>Name or vendor.</w:t>
            </w:r>
          </w:p>
        </w:tc>
        <w:tc>
          <w:tcPr>
            <w:tcW w:type="dxa" w:w="2835"/>
          </w:tcPr>
          <w:p>
            <w:r/>
            <w:r>
              <w:rPr>
                <w:rFonts w:ascii="Calibri" w:hAnsi="Calibri" w:cs="Calibri" w:eastAsia="Calibri"/>
                <w:b w:val="0"/>
                <w:i w:val="0"/>
                <w:sz w:val="18"/>
                <w:szCs w:val="18"/>
              </w:rPr>
              <w:t>IT Service Desk technician; certified disposal vendor, 14 August 2026</w:t>
            </w:r>
          </w:p>
        </w:tc>
      </w:tr>
      <w:tr>
        <w:tc>
          <w:tcPr>
            <w:tcW w:type="dxa" w:w="624"/>
          </w:tcPr>
          <w:p>
            <w:r/>
            <w:r>
              <w:rPr>
                <w:rFonts w:ascii="Calibri" w:hAnsi="Calibri" w:cs="Calibri" w:eastAsia="Calibri"/>
                <w:b w:val="0"/>
                <w:i w:val="0"/>
                <w:sz w:val="18"/>
                <w:szCs w:val="18"/>
              </w:rPr>
              <w:t>7</w:t>
            </w:r>
          </w:p>
        </w:tc>
        <w:tc>
          <w:tcPr>
            <w:tcW w:type="dxa" w:w="2268"/>
          </w:tcPr>
          <w:p>
            <w:r/>
            <w:r>
              <w:rPr>
                <w:rFonts w:ascii="Calibri" w:hAnsi="Calibri" w:cs="Calibri" w:eastAsia="Calibri"/>
                <w:b w:val="0"/>
                <w:i w:val="0"/>
                <w:sz w:val="18"/>
                <w:szCs w:val="18"/>
              </w:rPr>
              <w:t>Verification</w:t>
            </w:r>
          </w:p>
        </w:tc>
        <w:tc>
          <w:tcPr>
            <w:tcW w:type="dxa" w:w="3628"/>
          </w:tcPr>
          <w:p>
            <w:r/>
            <w:r>
              <w:rPr>
                <w:rFonts w:ascii="Calibri" w:hAnsi="Calibri" w:cs="Calibri" w:eastAsia="Calibri"/>
                <w:b w:val="0"/>
                <w:i w:val="0"/>
                <w:sz w:val="18"/>
                <w:szCs w:val="18"/>
              </w:rPr>
              <w:t>Verification method and result.</w:t>
            </w:r>
          </w:p>
        </w:tc>
        <w:tc>
          <w:tcPr>
            <w:tcW w:type="dxa" w:w="2835"/>
          </w:tcPr>
          <w:p>
            <w:r/>
            <w:r>
              <w:rPr>
                <w:rFonts w:ascii="Calibri" w:hAnsi="Calibri" w:cs="Calibri" w:eastAsia="Calibri"/>
                <w:b w:val="0"/>
                <w:i w:val="0"/>
                <w:sz w:val="18"/>
                <w:szCs w:val="18"/>
              </w:rPr>
              <w:t>Tool report shows successful cryptographic erase</w:t>
            </w:r>
          </w:p>
        </w:tc>
      </w:tr>
      <w:tr>
        <w:tc>
          <w:tcPr>
            <w:tcW w:type="dxa" w:w="624"/>
          </w:tcPr>
          <w:p>
            <w:r/>
            <w:r>
              <w:rPr>
                <w:rFonts w:ascii="Calibri" w:hAnsi="Calibri" w:cs="Calibri" w:eastAsia="Calibri"/>
                <w:b w:val="0"/>
                <w:i w:val="0"/>
                <w:sz w:val="18"/>
                <w:szCs w:val="18"/>
              </w:rPr>
              <w:t>8</w:t>
            </w:r>
          </w:p>
        </w:tc>
        <w:tc>
          <w:tcPr>
            <w:tcW w:type="dxa" w:w="2268"/>
          </w:tcPr>
          <w:p>
            <w:r/>
            <w:r>
              <w:rPr>
                <w:rFonts w:ascii="Calibri" w:hAnsi="Calibri" w:cs="Calibri" w:eastAsia="Calibri"/>
                <w:b w:val="0"/>
                <w:i w:val="0"/>
                <w:sz w:val="18"/>
                <w:szCs w:val="18"/>
              </w:rPr>
              <w:t>Certificate of destruction</w:t>
            </w:r>
          </w:p>
        </w:tc>
        <w:tc>
          <w:tcPr>
            <w:tcW w:type="dxa" w:w="3628"/>
          </w:tcPr>
          <w:p>
            <w:r/>
            <w:r>
              <w:rPr>
                <w:rFonts w:ascii="Calibri" w:hAnsi="Calibri" w:cs="Calibri" w:eastAsia="Calibri"/>
                <w:b w:val="0"/>
                <w:i w:val="0"/>
                <w:sz w:val="18"/>
                <w:szCs w:val="18"/>
              </w:rPr>
              <w:t>Reference if external vendor.</w:t>
            </w:r>
          </w:p>
        </w:tc>
        <w:tc>
          <w:tcPr>
            <w:tcW w:type="dxa" w:w="2835"/>
          </w:tcPr>
          <w:p>
            <w:r/>
            <w:r>
              <w:rPr>
                <w:rFonts w:ascii="Calibri" w:hAnsi="Calibri" w:cs="Calibri" w:eastAsia="Calibri"/>
                <w:b w:val="0"/>
                <w:i w:val="0"/>
                <w:sz w:val="18"/>
                <w:szCs w:val="18"/>
              </w:rPr>
              <w:t>COD-2026-0815</w:t>
            </w:r>
          </w:p>
        </w:tc>
      </w:tr>
      <w:tr>
        <w:tc>
          <w:tcPr>
            <w:tcW w:type="dxa" w:w="624"/>
          </w:tcPr>
          <w:p>
            <w:r/>
            <w:r>
              <w:rPr>
                <w:rFonts w:ascii="Calibri" w:hAnsi="Calibri" w:cs="Calibri" w:eastAsia="Calibri"/>
                <w:b w:val="0"/>
                <w:i w:val="0"/>
                <w:sz w:val="18"/>
                <w:szCs w:val="18"/>
              </w:rPr>
              <w:t>9</w:t>
            </w:r>
          </w:p>
        </w:tc>
        <w:tc>
          <w:tcPr>
            <w:tcW w:type="dxa" w:w="2268"/>
          </w:tcPr>
          <w:p>
            <w:r/>
            <w:r>
              <w:rPr>
                <w:rFonts w:ascii="Calibri" w:hAnsi="Calibri" w:cs="Calibri" w:eastAsia="Calibri"/>
                <w:b w:val="0"/>
                <w:i w:val="0"/>
                <w:sz w:val="18"/>
                <w:szCs w:val="18"/>
              </w:rPr>
              <w:t>Inventory updated</w:t>
            </w:r>
          </w:p>
        </w:tc>
        <w:tc>
          <w:tcPr>
            <w:tcW w:type="dxa" w:w="3628"/>
          </w:tcPr>
          <w:p>
            <w:r/>
            <w:r>
              <w:rPr>
                <w:rFonts w:ascii="Calibri" w:hAnsi="Calibri" w:cs="Calibri" w:eastAsia="Calibri"/>
                <w:b w:val="0"/>
                <w:i w:val="0"/>
                <w:sz w:val="18"/>
                <w:szCs w:val="18"/>
              </w:rPr>
              <w:t>Date.</w:t>
            </w:r>
          </w:p>
        </w:tc>
        <w:tc>
          <w:tcPr>
            <w:tcW w:type="dxa" w:w="2835"/>
          </w:tcPr>
          <w:p>
            <w:r/>
            <w:r>
              <w:rPr>
                <w:rFonts w:ascii="Calibri" w:hAnsi="Calibri" w:cs="Calibri" w:eastAsia="Calibri"/>
                <w:b w:val="0"/>
                <w:i w:val="0"/>
                <w:sz w:val="18"/>
                <w:szCs w:val="18"/>
              </w:rPr>
              <w:t>15 August 2026</w:t>
            </w:r>
          </w:p>
        </w:tc>
      </w:tr>
    </w:tbl>
    <w:p>
      <w:pPr>
        <w:spacing w:after="40"/>
      </w:pPr>
    </w:p>
    <w:p>
      <w:pPr>
        <w:pStyle w:val="Heading2"/>
        <w:keepNext/>
        <w:spacing w:before="120" w:after="80"/>
      </w:pPr>
      <w:r>
        <w:rPr>
          <w:rFonts w:ascii="Calibri" w:hAnsi="Calibri" w:cs="Calibri" w:eastAsia="Calibri"/>
          <w:b/>
          <w:i w:val="0"/>
          <w:color w:val="1F3864"/>
          <w:sz w:val="24"/>
          <w:szCs w:val="24"/>
          <w:bCs/>
        </w:rPr>
        <w:t>4.4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Reviewer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IT Infrastructure Manager</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Physically destroy SSDs that held Restricted data; overwriting is not reliable on flash media.</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Disposal vendor collects devices without serial-number-level certificates.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ID.AM-08: Systems, hardware, software, services, and data are managed throughout their life cycles</w:t>
            </w:r>
          </w:p>
          <w:p>
            <w:r>
              <w:rPr>
                <w:rFonts w:ascii="Calibri" w:hAnsi="Calibri" w:cs="Calibri" w:eastAsia="Calibri"/>
                <w:b w:val="0"/>
                <w:i w:val="0"/>
                <w:sz w:val="18"/>
                <w:szCs w:val="18"/>
              </w:rPr>
              <w:t>PR.DS-01: The confidentiality, integrity, and availability of data-at-rest are protected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A.7.10, Annex A.7.14, Annex A.8.10</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MP-6</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7.14 and 8.10; PDPA s.37(3); NIST SP 800-88</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ID-PRC-001: Asset Lifecycle Management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ID-FRM-001  |  Media Sanitization and Disposal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