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Asset Lifecycle Management Procedure</w:t>
      </w:r>
    </w:p>
    <w:p>
      <w:pPr>
        <w:spacing w:after="80" w:before="0"/>
      </w:pPr>
      <w:r>
        <w:rPr>
          <w:rFonts w:ascii="Calibri" w:hAnsi="Calibri" w:cs="Calibri" w:eastAsia="Calibri"/>
          <w:b w:val="0"/>
          <w:i w:val="0"/>
          <w:color w:val="595959"/>
          <w:sz w:val="18"/>
          <w:szCs w:val="18"/>
        </w:rPr>
        <w:t>ID-PRC-001  |  Procedure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Asset Lifecycle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16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16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5.9, 7.13, and 7.14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13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16 July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manages assets from request and acquisition through deployment, maintenance, transfer, and secure disposal (ID.AM-08, PR.PS-03).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Life-Cycle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each stage with actor and controls.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5386"/>
        <w:gridCol w:w="1984"/>
      </w:tblGrid>
      <w:tr>
        <w:trPr>
          <w:tblHeader w:val="true"/>
        </w:trPr>
        <w:tc>
          <w:tcPr>
            <w:tcW w:type="dxa" w:w="1984"/>
            <w:shd w:val="clear" w:color="auto" w:fill="1F3864"/>
          </w:tcPr>
          <w:p>
            <w:r/>
            <w:r>
              <w:rPr>
                <w:rFonts w:ascii="Calibri" w:hAnsi="Calibri" w:cs="Calibri" w:eastAsia="Calibri"/>
                <w:b/>
                <w:i w:val="0"/>
                <w:color w:val="FFFFFF"/>
                <w:sz w:val="18"/>
                <w:szCs w:val="18"/>
                <w:bCs/>
              </w:rPr>
              <w:t>Stage</w:t>
            </w:r>
          </w:p>
        </w:tc>
        <w:tc>
          <w:tcPr>
            <w:tcW w:type="dxa" w:w="5386"/>
            <w:shd w:val="clear" w:color="auto" w:fill="1F3864"/>
          </w:tcPr>
          <w:p>
            <w:r/>
            <w:r>
              <w:rPr>
                <w:rFonts w:ascii="Calibri" w:hAnsi="Calibri" w:cs="Calibri" w:eastAsia="Calibri"/>
                <w:b/>
                <w:i w:val="0"/>
                <w:color w:val="FFFFFF"/>
                <w:sz w:val="18"/>
                <w:szCs w:val="18"/>
                <w:bCs/>
              </w:rPr>
              <w:t>Activity and control</w:t>
            </w:r>
          </w:p>
        </w:tc>
        <w:tc>
          <w:tcPr>
            <w:tcW w:type="dxa" w:w="1984"/>
            <w:shd w:val="clear" w:color="auto" w:fill="1F3864"/>
          </w:tcPr>
          <w:p>
            <w:r/>
            <w:r>
              <w:rPr>
                <w:rFonts w:ascii="Calibri" w:hAnsi="Calibri" w:cs="Calibri" w:eastAsia="Calibri"/>
                <w:b/>
                <w:i w:val="0"/>
                <w:color w:val="FFFFFF"/>
                <w:sz w:val="18"/>
                <w:szCs w:val="18"/>
                <w:bCs/>
              </w:rPr>
              <w:t>Actor</w:t>
            </w:r>
          </w:p>
        </w:tc>
      </w:tr>
      <w:tr>
        <w:tc>
          <w:tcPr>
            <w:tcW w:type="dxa" w:w="1984"/>
          </w:tcPr>
          <w:p>
            <w:r/>
            <w:r>
              <w:rPr>
                <w:rFonts w:ascii="Calibri" w:hAnsi="Calibri" w:cs="Calibri" w:eastAsia="Calibri"/>
                <w:b w:val="0"/>
                <w:i w:val="0"/>
                <w:sz w:val="18"/>
                <w:szCs w:val="18"/>
              </w:rPr>
              <w:t>Request and acquire</w:t>
            </w:r>
          </w:p>
        </w:tc>
        <w:tc>
          <w:tcPr>
            <w:tcW w:type="dxa" w:w="5386"/>
          </w:tcPr>
          <w:p>
            <w:r/>
            <w:r>
              <w:rPr>
                <w:rFonts w:ascii="Calibri" w:hAnsi="Calibri" w:cs="Calibri" w:eastAsia="Calibri"/>
                <w:b w:val="0"/>
                <w:i w:val="0"/>
                <w:sz w:val="18"/>
                <w:szCs w:val="18"/>
              </w:rPr>
              <w:t>Approve need; apply Secure Acquisition Standard (GV-STD-003)</w:t>
            </w:r>
          </w:p>
        </w:tc>
        <w:tc>
          <w:tcPr>
            <w:tcW w:type="dxa" w:w="1984"/>
          </w:tcPr>
          <w:p>
            <w:r/>
            <w:r>
              <w:rPr>
                <w:rFonts w:ascii="Calibri" w:hAnsi="Calibri" w:cs="Calibri" w:eastAsia="Calibri"/>
                <w:b w:val="0"/>
                <w:i w:val="0"/>
                <w:sz w:val="18"/>
                <w:szCs w:val="18"/>
              </w:rPr>
              <w:t>Requester, Procurement Manager</w:t>
            </w:r>
          </w:p>
        </w:tc>
      </w:tr>
      <w:tr>
        <w:tc>
          <w:tcPr>
            <w:tcW w:type="dxa" w:w="1984"/>
          </w:tcPr>
          <w:p>
            <w:r/>
            <w:r>
              <w:rPr>
                <w:rFonts w:ascii="Calibri" w:hAnsi="Calibri" w:cs="Calibri" w:eastAsia="Calibri"/>
                <w:b w:val="0"/>
                <w:i w:val="0"/>
                <w:sz w:val="18"/>
                <w:szCs w:val="18"/>
              </w:rPr>
              <w:t>Receive and register</w:t>
            </w:r>
          </w:p>
        </w:tc>
        <w:tc>
          <w:tcPr>
            <w:tcW w:type="dxa" w:w="5386"/>
          </w:tcPr>
          <w:p>
            <w:r/>
            <w:r>
              <w:rPr>
                <w:rFonts w:ascii="Calibri" w:hAnsi="Calibri" w:cs="Calibri" w:eastAsia="Calibri"/>
                <w:b w:val="0"/>
                <w:i w:val="0"/>
                <w:sz w:val="18"/>
                <w:szCs w:val="18"/>
              </w:rPr>
              <w:t>Tag the asset and record it in the inventory with owner and criticality</w:t>
            </w:r>
          </w:p>
        </w:tc>
        <w:tc>
          <w:tcPr>
            <w:tcW w:type="dxa" w:w="1984"/>
          </w:tcPr>
          <w:p>
            <w:r/>
            <w:r>
              <w:rPr>
                <w:rFonts w:ascii="Calibri" w:hAnsi="Calibri" w:cs="Calibri" w:eastAsia="Calibri"/>
                <w:b w:val="0"/>
                <w:i w:val="0"/>
                <w:sz w:val="18"/>
                <w:szCs w:val="18"/>
              </w:rPr>
              <w:t>IT Infrastructure Manager</w:t>
            </w:r>
          </w:p>
        </w:tc>
      </w:tr>
      <w:tr>
        <w:tc>
          <w:tcPr>
            <w:tcW w:type="dxa" w:w="1984"/>
          </w:tcPr>
          <w:p>
            <w:r/>
            <w:r>
              <w:rPr>
                <w:rFonts w:ascii="Calibri" w:hAnsi="Calibri" w:cs="Calibri" w:eastAsia="Calibri"/>
                <w:b w:val="0"/>
                <w:i w:val="0"/>
                <w:sz w:val="18"/>
                <w:szCs w:val="18"/>
              </w:rPr>
              <w:t>Deploy</w:t>
            </w:r>
          </w:p>
        </w:tc>
        <w:tc>
          <w:tcPr>
            <w:tcW w:type="dxa" w:w="5386"/>
          </w:tcPr>
          <w:p>
            <w:r/>
            <w:r>
              <w:rPr>
                <w:rFonts w:ascii="Calibri" w:hAnsi="Calibri" w:cs="Calibri" w:eastAsia="Calibri"/>
                <w:b w:val="0"/>
                <w:i w:val="0"/>
                <w:sz w:val="18"/>
                <w:szCs w:val="18"/>
              </w:rPr>
              <w:t>Apply the secure configuration baseline (PR-STD-010) and enroll in management tools</w:t>
            </w:r>
          </w:p>
        </w:tc>
        <w:tc>
          <w:tcPr>
            <w:tcW w:type="dxa" w:w="1984"/>
          </w:tcPr>
          <w:p>
            <w:r/>
            <w:r>
              <w:rPr>
                <w:rFonts w:ascii="Calibri" w:hAnsi="Calibri" w:cs="Calibri" w:eastAsia="Calibri"/>
                <w:b w:val="0"/>
                <w:i w:val="0"/>
                <w:sz w:val="18"/>
                <w:szCs w:val="18"/>
              </w:rPr>
              <w:t>IT Infrastructure Manager</w:t>
            </w:r>
          </w:p>
        </w:tc>
      </w:tr>
      <w:tr>
        <w:tc>
          <w:tcPr>
            <w:tcW w:type="dxa" w:w="1984"/>
          </w:tcPr>
          <w:p>
            <w:r/>
            <w:r>
              <w:rPr>
                <w:rFonts w:ascii="Calibri" w:hAnsi="Calibri" w:cs="Calibri" w:eastAsia="Calibri"/>
                <w:b w:val="0"/>
                <w:i w:val="0"/>
                <w:sz w:val="18"/>
                <w:szCs w:val="18"/>
              </w:rPr>
              <w:t>Maintain</w:t>
            </w:r>
          </w:p>
        </w:tc>
        <w:tc>
          <w:tcPr>
            <w:tcW w:type="dxa" w:w="5386"/>
          </w:tcPr>
          <w:p>
            <w:r/>
            <w:r>
              <w:rPr>
                <w:rFonts w:ascii="Calibri" w:hAnsi="Calibri" w:cs="Calibri" w:eastAsia="Calibri"/>
                <w:b w:val="0"/>
                <w:i w:val="0"/>
                <w:sz w:val="18"/>
                <w:szCs w:val="18"/>
              </w:rPr>
              <w:t>Patch, maintain under vendor support, and review warranty and end-of-support dates</w:t>
            </w:r>
          </w:p>
        </w:tc>
        <w:tc>
          <w:tcPr>
            <w:tcW w:type="dxa" w:w="1984"/>
          </w:tcPr>
          <w:p>
            <w:r/>
            <w:r>
              <w:rPr>
                <w:rFonts w:ascii="Calibri" w:hAnsi="Calibri" w:cs="Calibri" w:eastAsia="Calibri"/>
                <w:b w:val="0"/>
                <w:i w:val="0"/>
                <w:sz w:val="18"/>
                <w:szCs w:val="18"/>
              </w:rPr>
              <w:t>IT Infrastructure Manager</w:t>
            </w:r>
          </w:p>
        </w:tc>
      </w:tr>
      <w:tr>
        <w:tc>
          <w:tcPr>
            <w:tcW w:type="dxa" w:w="1984"/>
          </w:tcPr>
          <w:p>
            <w:r/>
            <w:r>
              <w:rPr>
                <w:rFonts w:ascii="Calibri" w:hAnsi="Calibri" w:cs="Calibri" w:eastAsia="Calibri"/>
                <w:b w:val="0"/>
                <w:i w:val="0"/>
                <w:sz w:val="18"/>
                <w:szCs w:val="18"/>
              </w:rPr>
              <w:t>Transfer</w:t>
            </w:r>
          </w:p>
        </w:tc>
        <w:tc>
          <w:tcPr>
            <w:tcW w:type="dxa" w:w="5386"/>
          </w:tcPr>
          <w:p>
            <w:r/>
            <w:r>
              <w:rPr>
                <w:rFonts w:ascii="Calibri" w:hAnsi="Calibri" w:cs="Calibri" w:eastAsia="Calibri"/>
                <w:b w:val="0"/>
                <w:i w:val="0"/>
                <w:sz w:val="18"/>
                <w:szCs w:val="18"/>
              </w:rPr>
              <w:t>Update owner and location; wipe before reassignment</w:t>
            </w:r>
          </w:p>
        </w:tc>
        <w:tc>
          <w:tcPr>
            <w:tcW w:type="dxa" w:w="1984"/>
          </w:tcPr>
          <w:p>
            <w:r/>
            <w:r>
              <w:rPr>
                <w:rFonts w:ascii="Calibri" w:hAnsi="Calibri" w:cs="Calibri" w:eastAsia="Calibri"/>
                <w:b w:val="0"/>
                <w:i w:val="0"/>
                <w:sz w:val="18"/>
                <w:szCs w:val="18"/>
              </w:rPr>
              <w:t>IT Infrastructure Manager</w:t>
            </w:r>
          </w:p>
        </w:tc>
      </w:tr>
      <w:tr>
        <w:tc>
          <w:tcPr>
            <w:tcW w:type="dxa" w:w="1984"/>
          </w:tcPr>
          <w:p>
            <w:r/>
            <w:r>
              <w:rPr>
                <w:rFonts w:ascii="Calibri" w:hAnsi="Calibri" w:cs="Calibri" w:eastAsia="Calibri"/>
                <w:b w:val="0"/>
                <w:i w:val="0"/>
                <w:sz w:val="18"/>
                <w:szCs w:val="18"/>
              </w:rPr>
              <w:t>Retire and dispose</w:t>
            </w:r>
          </w:p>
        </w:tc>
        <w:tc>
          <w:tcPr>
            <w:tcW w:type="dxa" w:w="5386"/>
          </w:tcPr>
          <w:p>
            <w:r/>
            <w:r>
              <w:rPr>
                <w:rFonts w:ascii="Calibri" w:hAnsi="Calibri" w:cs="Calibri" w:eastAsia="Calibri"/>
                <w:b w:val="0"/>
                <w:i w:val="0"/>
                <w:sz w:val="18"/>
                <w:szCs w:val="18"/>
              </w:rPr>
              <w:t>Sanitize media per NIST SP 800-88, record in ID-FRM-001, update inventory</w:t>
            </w:r>
          </w:p>
        </w:tc>
        <w:tc>
          <w:tcPr>
            <w:tcW w:type="dxa" w:w="1984"/>
          </w:tcPr>
          <w:p>
            <w:r/>
            <w:r>
              <w:rPr>
                <w:rFonts w:ascii="Calibri" w:hAnsi="Calibri" w:cs="Calibri" w:eastAsia="Calibri"/>
                <w:b w:val="0"/>
                <w:i w:val="0"/>
                <w:sz w:val="18"/>
                <w:szCs w:val="18"/>
              </w:rPr>
              <w:t>IT Infrastructure Manager</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ID-FRM-001: Media Sanitization and Disposal Record</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certified disposal vendors and obtain certificates of destruction with serial numbers.</w:t>
      </w:r>
    </w:p>
    <w:p>
      <w:pPr>
        <w:pStyle w:val="ListBullet"/>
        <w:spacing w:after="40"/>
      </w:pPr>
      <w:r>
        <w:rPr>
          <w:rFonts w:ascii="Calibri" w:hAnsi="Calibri" w:cs="Calibri" w:eastAsia="Calibri"/>
          <w:b w:val="0"/>
          <w:i w:val="0"/>
          <w:sz w:val="21"/>
          <w:szCs w:val="21"/>
        </w:rPr>
        <w:t>Block network access for devices not in the inventory using network access control (NAC).</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Returning leased copiers or medical devices with patient data still on their hard drives.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ID.AM-08: Systems, hardware, software, services, and data are managed throughout their life cycles</w:t>
            </w:r>
          </w:p>
          <w:p>
            <w:r>
              <w:rPr>
                <w:rFonts w:ascii="Calibri" w:hAnsi="Calibri" w:cs="Calibri" w:eastAsia="Calibri"/>
                <w:b w:val="0"/>
                <w:i w:val="0"/>
                <w:sz w:val="18"/>
                <w:szCs w:val="18"/>
              </w:rPr>
              <w:t>PR.PS-03: Hardware is maintained, replaced, and removed commensurate with risk</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 Annex A.7.13, Annex A.7.14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CM-8, MA-2, MP-6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5.9, 7.13, and 7.14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ID-FRM-001: Media Sanitization and Disposal Record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ID-PRC-001  |  Asset Lifecycle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