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Data Inventory and Data Flow Register</w:t>
      </w:r>
    </w:p>
    <w:p>
      <w:pPr>
        <w:spacing w:after="80" w:before="0"/>
      </w:pPr>
      <w:r>
        <w:rPr>
          <w:rFonts w:ascii="Calibri" w:hAnsi="Calibri" w:cs="Calibri" w:eastAsia="Calibri"/>
          <w:b w:val="0"/>
          <w:i w:val="0"/>
          <w:color w:val="595959"/>
          <w:sz w:val="18"/>
          <w:szCs w:val="18"/>
        </w:rPr>
        <w:t>ID-REG-003  |  Register  |  Asset Management (ID.AM)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ID-REG-003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Data Inventory and Data Flow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22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22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Asset Management (ID.AM)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5.9 and 5.12; supports PDPA s.39</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7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22 September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records important data sets, where they are stored, their classification, owners, and how data flows between systems and parties (ID.AM-03, ID.AM-07).</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(ID-STD-001)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Data set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DATA-001</w:t>
            </w:r>
          </w:p>
        </w:tc>
      </w:tr>
      <w:tr>
        <w:tc>
          <w:tcPr>
            <w:tcW w:type="dxa" w:w="2268"/>
          </w:tcPr>
          <w:p>
            <w:r/>
            <w:r>
              <w:rPr>
                <w:rFonts w:ascii="Calibri" w:hAnsi="Calibri" w:cs="Calibri" w:eastAsia="Calibri"/>
                <w:b w:val="0"/>
                <w:i w:val="0"/>
                <w:sz w:val="18"/>
                <w:szCs w:val="18"/>
              </w:rPr>
              <w:t>Data set</w:t>
            </w:r>
          </w:p>
        </w:tc>
        <w:tc>
          <w:tcPr>
            <w:tcW w:type="dxa" w:w="4535"/>
          </w:tcPr>
          <w:p>
            <w:r/>
            <w:r>
              <w:rPr>
                <w:rFonts w:ascii="Calibri" w:hAnsi="Calibri" w:cs="Calibri" w:eastAsia="Calibri"/>
                <w:b w:val="0"/>
                <w:i w:val="0"/>
                <w:sz w:val="18"/>
                <w:szCs w:val="18"/>
              </w:rPr>
              <w:t>Description.</w:t>
            </w:r>
          </w:p>
        </w:tc>
        <w:tc>
          <w:tcPr>
            <w:tcW w:type="dxa" w:w="2551"/>
          </w:tcPr>
          <w:p>
            <w:r/>
          </w:p>
        </w:tc>
      </w:tr>
      <w:tr>
        <w:tc>
          <w:tcPr>
            <w:tcW w:type="dxa" w:w="2268"/>
          </w:tcPr>
          <w:p>
            <w:r/>
            <w:r>
              <w:rPr>
                <w:rFonts w:ascii="Calibri" w:hAnsi="Calibri" w:cs="Calibri" w:eastAsia="Calibri"/>
                <w:b w:val="0"/>
                <w:i w:val="0"/>
                <w:sz w:val="18"/>
                <w:szCs w:val="18"/>
              </w:rPr>
              <w:t>Classification</w:t>
            </w:r>
          </w:p>
        </w:tc>
        <w:tc>
          <w:tcPr>
            <w:tcW w:type="dxa" w:w="4535"/>
          </w:tcPr>
          <w:p>
            <w:r/>
            <w:r>
              <w:rPr>
                <w:rFonts w:ascii="Calibri" w:hAnsi="Calibri" w:cs="Calibri" w:eastAsia="Calibri"/>
                <w:b w:val="0"/>
                <w:i w:val="0"/>
                <w:sz w:val="18"/>
                <w:szCs w:val="18"/>
              </w:rPr>
              <w:t>Per PR-STD-004.</w:t>
            </w:r>
          </w:p>
        </w:tc>
        <w:tc>
          <w:tcPr>
            <w:tcW w:type="dxa" w:w="2551"/>
          </w:tcPr>
          <w:p>
            <w:r/>
          </w:p>
        </w:tc>
      </w:tr>
      <w:tr>
        <w:tc>
          <w:tcPr>
            <w:tcW w:type="dxa" w:w="2268"/>
          </w:tcPr>
          <w:p>
            <w:r/>
            <w:r>
              <w:rPr>
                <w:rFonts w:ascii="Calibri" w:hAnsi="Calibri" w:cs="Calibri" w:eastAsia="Calibri"/>
                <w:b w:val="0"/>
                <w:i w:val="0"/>
                <w:sz w:val="18"/>
                <w:szCs w:val="18"/>
              </w:rPr>
              <w:t>Personal data (ROPA link)</w:t>
            </w:r>
          </w:p>
        </w:tc>
        <w:tc>
          <w:tcPr>
            <w:tcW w:type="dxa" w:w="4535"/>
          </w:tcPr>
          <w:p>
            <w:r/>
            <w:r>
              <w:rPr>
                <w:rFonts w:ascii="Calibri" w:hAnsi="Calibri" w:cs="Calibri" w:eastAsia="Calibri"/>
                <w:b w:val="0"/>
                <w:i w:val="0"/>
                <w:sz w:val="18"/>
                <w:szCs w:val="18"/>
              </w:rPr>
              <w:t>ROPA ID if personal data.</w:t>
            </w:r>
          </w:p>
        </w:tc>
        <w:tc>
          <w:tcPr>
            <w:tcW w:type="dxa" w:w="2551"/>
          </w:tcPr>
          <w:p>
            <w:r/>
          </w:p>
        </w:tc>
      </w:tr>
      <w:tr>
        <w:tc>
          <w:tcPr>
            <w:tcW w:type="dxa" w:w="2268"/>
          </w:tcPr>
          <w:p>
            <w:r/>
            <w:r>
              <w:rPr>
                <w:rFonts w:ascii="Calibri" w:hAnsi="Calibri" w:cs="Calibri" w:eastAsia="Calibri"/>
                <w:b w:val="0"/>
                <w:i w:val="0"/>
                <w:sz w:val="18"/>
                <w:szCs w:val="18"/>
              </w:rPr>
              <w:t>Data owner</w:t>
            </w:r>
          </w:p>
        </w:tc>
        <w:tc>
          <w:tcPr>
            <w:tcW w:type="dxa" w:w="4535"/>
          </w:tcPr>
          <w:p>
            <w:r/>
            <w:r>
              <w:rPr>
                <w:rFonts w:ascii="Calibri" w:hAnsi="Calibri" w:cs="Calibri" w:eastAsia="Calibri"/>
                <w:b w:val="0"/>
                <w:i w:val="0"/>
                <w:sz w:val="18"/>
                <w:szCs w:val="18"/>
              </w:rPr>
              <w:t>Role.</w:t>
            </w:r>
          </w:p>
        </w:tc>
        <w:tc>
          <w:tcPr>
            <w:tcW w:type="dxa" w:w="2551"/>
          </w:tcPr>
          <w:p>
            <w:r/>
          </w:p>
        </w:tc>
      </w:tr>
      <w:tr>
        <w:tc>
          <w:tcPr>
            <w:tcW w:type="dxa" w:w="2268"/>
          </w:tcPr>
          <w:p>
            <w:r/>
            <w:r>
              <w:rPr>
                <w:rFonts w:ascii="Calibri" w:hAnsi="Calibri" w:cs="Calibri" w:eastAsia="Calibri"/>
                <w:b w:val="0"/>
                <w:i w:val="0"/>
                <w:sz w:val="18"/>
                <w:szCs w:val="18"/>
              </w:rPr>
              <w:t>Storage location</w:t>
            </w:r>
          </w:p>
        </w:tc>
        <w:tc>
          <w:tcPr>
            <w:tcW w:type="dxa" w:w="4535"/>
          </w:tcPr>
          <w:p>
            <w:r/>
            <w:r>
              <w:rPr>
                <w:rFonts w:ascii="Calibri" w:hAnsi="Calibri" w:cs="Calibri" w:eastAsia="Calibri"/>
                <w:b w:val="0"/>
                <w:i w:val="0"/>
                <w:sz w:val="18"/>
                <w:szCs w:val="18"/>
              </w:rPr>
              <w:t>System and location.</w:t>
            </w:r>
          </w:p>
        </w:tc>
        <w:tc>
          <w:tcPr>
            <w:tcW w:type="dxa" w:w="2551"/>
          </w:tcPr>
          <w:p>
            <w:r/>
          </w:p>
        </w:tc>
      </w:tr>
      <w:tr>
        <w:tc>
          <w:tcPr>
            <w:tcW w:type="dxa" w:w="2268"/>
          </w:tcPr>
          <w:p>
            <w:r/>
            <w:r>
              <w:rPr>
                <w:rFonts w:ascii="Calibri" w:hAnsi="Calibri" w:cs="Calibri" w:eastAsia="Calibri"/>
                <w:b w:val="0"/>
                <w:i w:val="0"/>
                <w:sz w:val="18"/>
                <w:szCs w:val="18"/>
              </w:rPr>
              <w:t>Flows to</w:t>
            </w:r>
          </w:p>
        </w:tc>
        <w:tc>
          <w:tcPr>
            <w:tcW w:type="dxa" w:w="4535"/>
          </w:tcPr>
          <w:p>
            <w:r/>
            <w:r>
              <w:rPr>
                <w:rFonts w:ascii="Calibri" w:hAnsi="Calibri" w:cs="Calibri" w:eastAsia="Calibri"/>
                <w:b w:val="0"/>
                <w:i w:val="0"/>
                <w:sz w:val="18"/>
                <w:szCs w:val="18"/>
              </w:rPr>
              <w:t>Systems or parties receiving the data and method.</w:t>
            </w:r>
          </w:p>
        </w:tc>
        <w:tc>
          <w:tcPr>
            <w:tcW w:type="dxa" w:w="2551"/>
          </w:tcPr>
          <w:p>
            <w:r/>
          </w:p>
        </w:tc>
      </w:tr>
      <w:tr>
        <w:tc>
          <w:tcPr>
            <w:tcW w:type="dxa" w:w="2268"/>
          </w:tcPr>
          <w:p>
            <w:r/>
            <w:r>
              <w:rPr>
                <w:rFonts w:ascii="Calibri" w:hAnsi="Calibri" w:cs="Calibri" w:eastAsia="Calibri"/>
                <w:b w:val="0"/>
                <w:i w:val="0"/>
                <w:sz w:val="18"/>
                <w:szCs w:val="18"/>
              </w:rPr>
              <w:t>Protection in transit</w:t>
            </w:r>
          </w:p>
        </w:tc>
        <w:tc>
          <w:tcPr>
            <w:tcW w:type="dxa" w:w="4535"/>
          </w:tcPr>
          <w:p>
            <w:r/>
            <w:r>
              <w:rPr>
                <w:rFonts w:ascii="Calibri" w:hAnsi="Calibri" w:cs="Calibri" w:eastAsia="Calibri"/>
                <w:b w:val="0"/>
                <w:i w:val="0"/>
                <w:sz w:val="18"/>
                <w:szCs w:val="18"/>
              </w:rPr>
              <w:t>Encryption method.</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892"/>
        <w:gridCol w:w="1892"/>
        <w:gridCol w:w="1892"/>
        <w:gridCol w:w="1892"/>
        <w:gridCol w:w="1892"/>
        <w:gridCol w:w="1892"/>
        <w:gridCol w:w="1892"/>
        <w:gridCol w:w="1892"/>
      </w:tblGrid>
      <w:tr>
        <w:trPr>
          <w:tblHeader w:val="true"/>
        </w:trPr>
        <w:tc>
          <w:tcPr>
            <w:tcW w:type="dxa" w:w="1892"/>
            <w:shd w:val="clear" w:color="auto" w:fill="1F3864"/>
          </w:tcPr>
          <w:p>
            <w:r/>
            <w:r>
              <w:rPr>
                <w:rFonts w:ascii="Calibri" w:hAnsi="Calibri" w:cs="Calibri" w:eastAsia="Calibri"/>
                <w:b/>
                <w:i w:val="0"/>
                <w:color w:val="FFFFFF"/>
                <w:sz w:val="16"/>
                <w:szCs w:val="16"/>
                <w:bCs/>
              </w:rPr>
              <w:t>Data set ID</w:t>
            </w:r>
          </w:p>
        </w:tc>
        <w:tc>
          <w:tcPr>
            <w:tcW w:type="dxa" w:w="1892"/>
            <w:shd w:val="clear" w:color="auto" w:fill="1F3864"/>
          </w:tcPr>
          <w:p>
            <w:r/>
            <w:r>
              <w:rPr>
                <w:rFonts w:ascii="Calibri" w:hAnsi="Calibri" w:cs="Calibri" w:eastAsia="Calibri"/>
                <w:b/>
                <w:i w:val="0"/>
                <w:color w:val="FFFFFF"/>
                <w:sz w:val="16"/>
                <w:szCs w:val="16"/>
                <w:bCs/>
              </w:rPr>
              <w:t>Data set</w:t>
            </w:r>
          </w:p>
        </w:tc>
        <w:tc>
          <w:tcPr>
            <w:tcW w:type="dxa" w:w="1892"/>
            <w:shd w:val="clear" w:color="auto" w:fill="1F3864"/>
          </w:tcPr>
          <w:p>
            <w:r/>
            <w:r>
              <w:rPr>
                <w:rFonts w:ascii="Calibri" w:hAnsi="Calibri" w:cs="Calibri" w:eastAsia="Calibri"/>
                <w:b/>
                <w:i w:val="0"/>
                <w:color w:val="FFFFFF"/>
                <w:sz w:val="16"/>
                <w:szCs w:val="16"/>
                <w:bCs/>
              </w:rPr>
              <w:t>Classification</w:t>
            </w:r>
          </w:p>
        </w:tc>
        <w:tc>
          <w:tcPr>
            <w:tcW w:type="dxa" w:w="1892"/>
            <w:shd w:val="clear" w:color="auto" w:fill="1F3864"/>
          </w:tcPr>
          <w:p>
            <w:r/>
            <w:r>
              <w:rPr>
                <w:rFonts w:ascii="Calibri" w:hAnsi="Calibri" w:cs="Calibri" w:eastAsia="Calibri"/>
                <w:b/>
                <w:i w:val="0"/>
                <w:color w:val="FFFFFF"/>
                <w:sz w:val="16"/>
                <w:szCs w:val="16"/>
                <w:bCs/>
              </w:rPr>
              <w:t>Personal data (ROPA link)</w:t>
            </w:r>
          </w:p>
        </w:tc>
        <w:tc>
          <w:tcPr>
            <w:tcW w:type="dxa" w:w="1892"/>
            <w:shd w:val="clear" w:color="auto" w:fill="1F3864"/>
          </w:tcPr>
          <w:p>
            <w:r/>
            <w:r>
              <w:rPr>
                <w:rFonts w:ascii="Calibri" w:hAnsi="Calibri" w:cs="Calibri" w:eastAsia="Calibri"/>
                <w:b/>
                <w:i w:val="0"/>
                <w:color w:val="FFFFFF"/>
                <w:sz w:val="16"/>
                <w:szCs w:val="16"/>
                <w:bCs/>
              </w:rPr>
              <w:t>Data owner</w:t>
            </w:r>
          </w:p>
        </w:tc>
        <w:tc>
          <w:tcPr>
            <w:tcW w:type="dxa" w:w="1892"/>
            <w:shd w:val="clear" w:color="auto" w:fill="1F3864"/>
          </w:tcPr>
          <w:p>
            <w:r/>
            <w:r>
              <w:rPr>
                <w:rFonts w:ascii="Calibri" w:hAnsi="Calibri" w:cs="Calibri" w:eastAsia="Calibri"/>
                <w:b/>
                <w:i w:val="0"/>
                <w:color w:val="FFFFFF"/>
                <w:sz w:val="16"/>
                <w:szCs w:val="16"/>
                <w:bCs/>
              </w:rPr>
              <w:t>Storage location</w:t>
            </w:r>
          </w:p>
        </w:tc>
        <w:tc>
          <w:tcPr>
            <w:tcW w:type="dxa" w:w="1892"/>
            <w:shd w:val="clear" w:color="auto" w:fill="1F3864"/>
          </w:tcPr>
          <w:p>
            <w:r/>
            <w:r>
              <w:rPr>
                <w:rFonts w:ascii="Calibri" w:hAnsi="Calibri" w:cs="Calibri" w:eastAsia="Calibri"/>
                <w:b/>
                <w:i w:val="0"/>
                <w:color w:val="FFFFFF"/>
                <w:sz w:val="16"/>
                <w:szCs w:val="16"/>
                <w:bCs/>
              </w:rPr>
              <w:t>Flows to</w:t>
            </w:r>
          </w:p>
        </w:tc>
        <w:tc>
          <w:tcPr>
            <w:tcW w:type="dxa" w:w="1892"/>
            <w:shd w:val="clear" w:color="auto" w:fill="1F3864"/>
          </w:tcPr>
          <w:p>
            <w:r/>
            <w:r>
              <w:rPr>
                <w:rFonts w:ascii="Calibri" w:hAnsi="Calibri" w:cs="Calibri" w:eastAsia="Calibri"/>
                <w:b/>
                <w:i w:val="0"/>
                <w:color w:val="FFFFFF"/>
                <w:sz w:val="16"/>
                <w:szCs w:val="16"/>
                <w:bCs/>
              </w:rPr>
              <w:t>Protection in transit</w:t>
            </w:r>
          </w:p>
        </w:tc>
      </w:tr>
      <w:tr>
        <w:tc>
          <w:tcPr>
            <w:tcW w:type="dxa" w:w="1892"/>
          </w:tcPr>
          <w:p>
            <w:r/>
            <w:r>
              <w:rPr>
                <w:rFonts w:ascii="Calibri" w:hAnsi="Calibri" w:cs="Calibri" w:eastAsia="Calibri"/>
                <w:b w:val="0"/>
                <w:i w:val="0"/>
                <w:sz w:val="16"/>
                <w:szCs w:val="16"/>
              </w:rPr>
              <w:t>DATA-001</w:t>
            </w:r>
          </w:p>
        </w:tc>
        <w:tc>
          <w:tcPr>
            <w:tcW w:type="dxa" w:w="1892"/>
          </w:tcPr>
          <w:p>
            <w:r/>
            <w:r>
              <w:rPr>
                <w:rFonts w:ascii="Calibri" w:hAnsi="Calibri" w:cs="Calibri" w:eastAsia="Calibri"/>
                <w:b w:val="0"/>
                <w:i w:val="0"/>
                <w:sz w:val="16"/>
                <w:szCs w:val="16"/>
              </w:rPr>
              <w:t>Electronic medical record</w:t>
            </w:r>
          </w:p>
        </w:tc>
        <w:tc>
          <w:tcPr>
            <w:tcW w:type="dxa" w:w="1892"/>
          </w:tcPr>
          <w:p>
            <w:r/>
            <w:r>
              <w:rPr>
                <w:rFonts w:ascii="Calibri" w:hAnsi="Calibri" w:cs="Calibri" w:eastAsia="Calibri"/>
                <w:b w:val="0"/>
                <w:i w:val="0"/>
                <w:sz w:val="16"/>
                <w:szCs w:val="16"/>
              </w:rPr>
              <w:t>Restricted</w:t>
            </w:r>
          </w:p>
        </w:tc>
        <w:tc>
          <w:tcPr>
            <w:tcW w:type="dxa" w:w="1892"/>
          </w:tcPr>
          <w:p>
            <w:r/>
            <w:r>
              <w:rPr>
                <w:rFonts w:ascii="Calibri" w:hAnsi="Calibri" w:cs="Calibri" w:eastAsia="Calibri"/>
                <w:b w:val="0"/>
                <w:i w:val="0"/>
                <w:sz w:val="16"/>
                <w:szCs w:val="16"/>
              </w:rPr>
              <w:t>ROPA-MR-01</w:t>
            </w:r>
          </w:p>
        </w:tc>
        <w:tc>
          <w:tcPr>
            <w:tcW w:type="dxa" w:w="1892"/>
          </w:tcPr>
          <w:p>
            <w:r/>
            <w:r>
              <w:rPr>
                <w:rFonts w:ascii="Calibri" w:hAnsi="Calibri" w:cs="Calibri" w:eastAsia="Calibri"/>
                <w:b w:val="0"/>
                <w:i w:val="0"/>
                <w:sz w:val="16"/>
                <w:szCs w:val="16"/>
              </w:rPr>
              <w:t>Director of Medical Records</w:t>
            </w:r>
          </w:p>
        </w:tc>
        <w:tc>
          <w:tcPr>
            <w:tcW w:type="dxa" w:w="1892"/>
          </w:tcPr>
          <w:p>
            <w:r/>
            <w:r>
              <w:rPr>
                <w:rFonts w:ascii="Calibri" w:hAnsi="Calibri" w:cs="Calibri" w:eastAsia="Calibri"/>
                <w:b w:val="0"/>
                <w:i w:val="0"/>
                <w:sz w:val="16"/>
                <w:szCs w:val="16"/>
              </w:rPr>
              <w:t>HIS database, Riverside data center</w:t>
            </w:r>
          </w:p>
        </w:tc>
        <w:tc>
          <w:tcPr>
            <w:tcW w:type="dxa" w:w="1892"/>
          </w:tcPr>
          <w:p>
            <w:r/>
            <w:r>
              <w:rPr>
                <w:rFonts w:ascii="Calibri" w:hAnsi="Calibri" w:cs="Calibri" w:eastAsia="Calibri"/>
                <w:b w:val="0"/>
                <w:i w:val="0"/>
                <w:sz w:val="16"/>
                <w:szCs w:val="16"/>
              </w:rPr>
              <w:t>PACS and LIS (HL7 interface); insurers (portal)</w:t>
            </w:r>
          </w:p>
        </w:tc>
        <w:tc>
          <w:tcPr>
            <w:tcW w:type="dxa" w:w="1892"/>
          </w:tcPr>
          <w:p>
            <w:r/>
            <w:r>
              <w:rPr>
                <w:rFonts w:ascii="Calibri" w:hAnsi="Calibri" w:cs="Calibri" w:eastAsia="Calibri"/>
                <w:b w:val="0"/>
                <w:i w:val="0"/>
                <w:sz w:val="16"/>
                <w:szCs w:val="16"/>
              </w:rPr>
              <w:t>TLS on interfaces; insurer portal HTTPS</w:t>
            </w:r>
          </w:p>
        </w:tc>
      </w:tr>
      <w:tr>
        <w:tc>
          <w:tcPr>
            <w:tcW w:type="dxa" w:w="1892"/>
          </w:tcPr>
          <w:p>
            <w:r/>
            <w:r>
              <w:rPr>
                <w:rFonts w:ascii="Calibri" w:hAnsi="Calibri" w:cs="Calibri" w:eastAsia="Calibri"/>
                <w:b w:val="0"/>
                <w:i w:val="0"/>
                <w:sz w:val="16"/>
                <w:szCs w:val="16"/>
              </w:rPr>
              <w:t>DATA-002</w:t>
            </w:r>
          </w:p>
        </w:tc>
        <w:tc>
          <w:tcPr>
            <w:tcW w:type="dxa" w:w="1892"/>
          </w:tcPr>
          <w:p>
            <w:r/>
            <w:r>
              <w:rPr>
                <w:rFonts w:ascii="Calibri" w:hAnsi="Calibri" w:cs="Calibri" w:eastAsia="Calibri"/>
                <w:b w:val="0"/>
                <w:i w:val="0"/>
                <w:sz w:val="16"/>
                <w:szCs w:val="16"/>
              </w:rPr>
              <w:t>Diagnostic images</w:t>
            </w:r>
          </w:p>
        </w:tc>
        <w:tc>
          <w:tcPr>
            <w:tcW w:type="dxa" w:w="1892"/>
          </w:tcPr>
          <w:p>
            <w:r/>
            <w:r>
              <w:rPr>
                <w:rFonts w:ascii="Calibri" w:hAnsi="Calibri" w:cs="Calibri" w:eastAsia="Calibri"/>
                <w:b w:val="0"/>
                <w:i w:val="0"/>
                <w:sz w:val="16"/>
                <w:szCs w:val="16"/>
              </w:rPr>
              <w:t>Restricted</w:t>
            </w:r>
          </w:p>
        </w:tc>
        <w:tc>
          <w:tcPr>
            <w:tcW w:type="dxa" w:w="1892"/>
          </w:tcPr>
          <w:p>
            <w:r/>
            <w:r>
              <w:rPr>
                <w:rFonts w:ascii="Calibri" w:hAnsi="Calibri" w:cs="Calibri" w:eastAsia="Calibri"/>
                <w:b w:val="0"/>
                <w:i w:val="0"/>
                <w:sz w:val="16"/>
                <w:szCs w:val="16"/>
              </w:rPr>
              <w:t>ROPA-IMG-01</w:t>
            </w:r>
          </w:p>
        </w:tc>
        <w:tc>
          <w:tcPr>
            <w:tcW w:type="dxa" w:w="1892"/>
          </w:tcPr>
          <w:p>
            <w:r/>
            <w:r>
              <w:rPr>
                <w:rFonts w:ascii="Calibri" w:hAnsi="Calibri" w:cs="Calibri" w:eastAsia="Calibri"/>
                <w:b w:val="0"/>
                <w:i w:val="0"/>
                <w:sz w:val="16"/>
                <w:szCs w:val="16"/>
              </w:rPr>
              <w:t>Director of Radiology</w:t>
            </w:r>
          </w:p>
        </w:tc>
        <w:tc>
          <w:tcPr>
            <w:tcW w:type="dxa" w:w="1892"/>
          </w:tcPr>
          <w:p>
            <w:r/>
            <w:r>
              <w:rPr>
                <w:rFonts w:ascii="Calibri" w:hAnsi="Calibri" w:cs="Calibri" w:eastAsia="Calibri"/>
                <w:b w:val="0"/>
                <w:i w:val="0"/>
                <w:sz w:val="16"/>
                <w:szCs w:val="16"/>
              </w:rPr>
              <w:t>PACS storage</w:t>
            </w:r>
          </w:p>
        </w:tc>
        <w:tc>
          <w:tcPr>
            <w:tcW w:type="dxa" w:w="1892"/>
          </w:tcPr>
          <w:p>
            <w:r/>
            <w:r>
              <w:rPr>
                <w:rFonts w:ascii="Calibri" w:hAnsi="Calibri" w:cs="Calibri" w:eastAsia="Calibri"/>
                <w:b w:val="0"/>
                <w:i w:val="0"/>
                <w:sz w:val="16"/>
                <w:szCs w:val="16"/>
              </w:rPr>
              <w:t>Referring hospitals (secure image exchange)</w:t>
            </w:r>
          </w:p>
        </w:tc>
        <w:tc>
          <w:tcPr>
            <w:tcW w:type="dxa" w:w="1892"/>
          </w:tcPr>
          <w:p>
            <w:r/>
            <w:r>
              <w:rPr>
                <w:rFonts w:ascii="Calibri" w:hAnsi="Calibri" w:cs="Calibri" w:eastAsia="Calibri"/>
                <w:b w:val="0"/>
                <w:i w:val="0"/>
                <w:sz w:val="16"/>
                <w:szCs w:val="16"/>
              </w:rPr>
              <w:t>TLS 1.2 or higher</w:t>
            </w:r>
          </w:p>
        </w:tc>
      </w:tr>
      <w:tr>
        <w:tc>
          <w:tcPr>
            <w:tcW w:type="dxa" w:w="1892"/>
          </w:tcPr>
          <w:p>
            <w:r/>
            <w:r>
              <w:rPr>
                <w:rFonts w:ascii="Calibri" w:hAnsi="Calibri" w:cs="Calibri" w:eastAsia="Calibri"/>
                <w:b w:val="0"/>
                <w:i w:val="0"/>
                <w:sz w:val="16"/>
                <w:szCs w:val="16"/>
              </w:rPr>
              <w:t>DATA-003</w:t>
            </w:r>
          </w:p>
        </w:tc>
        <w:tc>
          <w:tcPr>
            <w:tcW w:type="dxa" w:w="1892"/>
          </w:tcPr>
          <w:p>
            <w:r/>
            <w:r>
              <w:rPr>
                <w:rFonts w:ascii="Calibri" w:hAnsi="Calibri" w:cs="Calibri" w:eastAsia="Calibri"/>
                <w:b w:val="0"/>
                <w:i w:val="0"/>
                <w:sz w:val="16"/>
                <w:szCs w:val="16"/>
              </w:rPr>
              <w:t>Payroll data</w:t>
            </w:r>
          </w:p>
        </w:tc>
        <w:tc>
          <w:tcPr>
            <w:tcW w:type="dxa" w:w="1892"/>
          </w:tcPr>
          <w:p>
            <w:r/>
            <w:r>
              <w:rPr>
                <w:rFonts w:ascii="Calibri" w:hAnsi="Calibri" w:cs="Calibri" w:eastAsia="Calibri"/>
                <w:b w:val="0"/>
                <w:i w:val="0"/>
                <w:sz w:val="16"/>
                <w:szCs w:val="16"/>
              </w:rPr>
              <w:t>Confidential</w:t>
            </w:r>
          </w:p>
        </w:tc>
        <w:tc>
          <w:tcPr>
            <w:tcW w:type="dxa" w:w="1892"/>
          </w:tcPr>
          <w:p>
            <w:r/>
            <w:r>
              <w:rPr>
                <w:rFonts w:ascii="Calibri" w:hAnsi="Calibri" w:cs="Calibri" w:eastAsia="Calibri"/>
                <w:b w:val="0"/>
                <w:i w:val="0"/>
                <w:sz w:val="16"/>
                <w:szCs w:val="16"/>
              </w:rPr>
              <w:t>ROPA-HR-01</w:t>
            </w:r>
          </w:p>
        </w:tc>
        <w:tc>
          <w:tcPr>
            <w:tcW w:type="dxa" w:w="1892"/>
          </w:tcPr>
          <w:p>
            <w:r/>
            <w:r>
              <w:rPr>
                <w:rFonts w:ascii="Calibri" w:hAnsi="Calibri" w:cs="Calibri" w:eastAsia="Calibri"/>
                <w:b w:val="0"/>
                <w:i w:val="0"/>
                <w:sz w:val="16"/>
                <w:szCs w:val="16"/>
              </w:rPr>
              <w:t>HR Director</w:t>
            </w:r>
          </w:p>
        </w:tc>
        <w:tc>
          <w:tcPr>
            <w:tcW w:type="dxa" w:w="1892"/>
          </w:tcPr>
          <w:p>
            <w:r/>
            <w:r>
              <w:rPr>
                <w:rFonts w:ascii="Calibri" w:hAnsi="Calibri" w:cs="Calibri" w:eastAsia="Calibri"/>
                <w:b w:val="0"/>
                <w:i w:val="0"/>
                <w:sz w:val="16"/>
                <w:szCs w:val="16"/>
              </w:rPr>
              <w:t>ERP (private cloud)</w:t>
            </w:r>
          </w:p>
        </w:tc>
        <w:tc>
          <w:tcPr>
            <w:tcW w:type="dxa" w:w="1892"/>
          </w:tcPr>
          <w:p>
            <w:r/>
            <w:r>
              <w:rPr>
                <w:rFonts w:ascii="Calibri" w:hAnsi="Calibri" w:cs="Calibri" w:eastAsia="Calibri"/>
                <w:b w:val="0"/>
                <w:i w:val="0"/>
                <w:sz w:val="16"/>
                <w:szCs w:val="16"/>
              </w:rPr>
              <w:t>Bank (payroll file via secure file transfer)</w:t>
            </w:r>
          </w:p>
        </w:tc>
        <w:tc>
          <w:tcPr>
            <w:tcW w:type="dxa" w:w="1892"/>
          </w:tcPr>
          <w:p>
            <w:r/>
            <w:r>
              <w:rPr>
                <w:rFonts w:ascii="Calibri" w:hAnsi="Calibri" w:cs="Calibri" w:eastAsia="Calibri"/>
                <w:b w:val="0"/>
                <w:i w:val="0"/>
                <w:sz w:val="16"/>
                <w:szCs w:val="16"/>
              </w:rPr>
              <w:t>SFTP with encryption</w:t>
            </w:r>
          </w:p>
        </w:tc>
      </w:tr>
      <w:tr>
        <w:tc>
          <w:tcPr>
            <w:tcW w:type="dxa" w:w="1892"/>
          </w:tcPr>
          <w:p>
            <w:r/>
            <w:r>
              <w:rPr>
                <w:rFonts w:ascii="Calibri" w:hAnsi="Calibri" w:cs="Calibri" w:eastAsia="Calibri"/>
                <w:b w:val="0"/>
                <w:i w:val="0"/>
                <w:sz w:val="16"/>
                <w:szCs w:val="16"/>
              </w:rPr>
              <w:t>DATA-004</w:t>
            </w:r>
          </w:p>
        </w:tc>
        <w:tc>
          <w:tcPr>
            <w:tcW w:type="dxa" w:w="1892"/>
          </w:tcPr>
          <w:p>
            <w:r/>
            <w:r>
              <w:rPr>
                <w:rFonts w:ascii="Calibri" w:hAnsi="Calibri" w:cs="Calibri" w:eastAsia="Calibri"/>
                <w:b w:val="0"/>
                <w:i w:val="0"/>
                <w:sz w:val="16"/>
                <w:szCs w:val="16"/>
              </w:rPr>
              <w:t>Security logs</w:t>
            </w:r>
          </w:p>
        </w:tc>
        <w:tc>
          <w:tcPr>
            <w:tcW w:type="dxa" w:w="1892"/>
          </w:tcPr>
          <w:p>
            <w:r/>
            <w:r>
              <w:rPr>
                <w:rFonts w:ascii="Calibri" w:hAnsi="Calibri" w:cs="Calibri" w:eastAsia="Calibri"/>
                <w:b w:val="0"/>
                <w:i w:val="0"/>
                <w:sz w:val="16"/>
                <w:szCs w:val="16"/>
              </w:rPr>
              <w:t>Confidential</w:t>
            </w:r>
          </w:p>
        </w:tc>
        <w:tc>
          <w:tcPr>
            <w:tcW w:type="dxa" w:w="1892"/>
          </w:tcPr>
          <w:p>
            <w:r/>
            <w:r>
              <w:rPr>
                <w:rFonts w:ascii="Calibri" w:hAnsi="Calibri" w:cs="Calibri" w:eastAsia="Calibri"/>
                <w:b w:val="0"/>
                <w:i w:val="0"/>
                <w:sz w:val="16"/>
                <w:szCs w:val="16"/>
              </w:rPr>
              <w:t>Not applicable (staff identifiers)</w:t>
            </w:r>
          </w:p>
        </w:tc>
        <w:tc>
          <w:tcPr>
            <w:tcW w:type="dxa" w:w="1892"/>
          </w:tcPr>
          <w:p>
            <w:r/>
            <w:r>
              <w:rPr>
                <w:rFonts w:ascii="Calibri" w:hAnsi="Calibri" w:cs="Calibri" w:eastAsia="Calibri"/>
                <w:b w:val="0"/>
                <w:i w:val="0"/>
                <w:sz w:val="16"/>
                <w:szCs w:val="16"/>
              </w:rPr>
              <w:t>Security Manager</w:t>
            </w:r>
          </w:p>
        </w:tc>
        <w:tc>
          <w:tcPr>
            <w:tcW w:type="dxa" w:w="1892"/>
          </w:tcPr>
          <w:p>
            <w:r/>
            <w:r>
              <w:rPr>
                <w:rFonts w:ascii="Calibri" w:hAnsi="Calibri" w:cs="Calibri" w:eastAsia="Calibri"/>
                <w:b w:val="0"/>
                <w:i w:val="0"/>
                <w:sz w:val="16"/>
                <w:szCs w:val="16"/>
              </w:rPr>
              <w:t>Log platform</w:t>
            </w:r>
          </w:p>
        </w:tc>
        <w:tc>
          <w:tcPr>
            <w:tcW w:type="dxa" w:w="1892"/>
          </w:tcPr>
          <w:p>
            <w:r/>
            <w:r>
              <w:rPr>
                <w:rFonts w:ascii="Calibri" w:hAnsi="Calibri" w:cs="Calibri" w:eastAsia="Calibri"/>
                <w:b w:val="0"/>
                <w:i w:val="0"/>
                <w:sz w:val="16"/>
                <w:szCs w:val="16"/>
              </w:rPr>
              <w:t>MSSP (log forwarding)</w:t>
            </w:r>
          </w:p>
        </w:tc>
        <w:tc>
          <w:tcPr>
            <w:tcW w:type="dxa" w:w="1892"/>
          </w:tcPr>
          <w:p>
            <w:r/>
            <w:r>
              <w:rPr>
                <w:rFonts w:ascii="Calibri" w:hAnsi="Calibri" w:cs="Calibri" w:eastAsia="Calibri"/>
                <w:b w:val="0"/>
                <w:i w:val="0"/>
                <w:sz w:val="16"/>
                <w:szCs w:val="16"/>
              </w:rPr>
              <w:t>TLS</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Data Protection Officer (DPO)</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Data Protection Officer (DPO)</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Data Protection Officer (DPO)</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Draw a data flow diagram for each critical system and keep it with the register.</w:t>
      </w:r>
    </w:p>
    <w:p>
      <w:pPr>
        <w:pStyle w:val="ListBullet"/>
        <w:spacing w:after="40"/>
      </w:pPr>
      <w:r>
        <w:rPr>
          <w:rFonts w:ascii="Calibri" w:hAnsi="Calibri" w:cs="Calibri" w:eastAsia="Calibri"/>
          <w:b w:val="0"/>
          <w:i w:val="0"/>
          <w:sz w:val="21"/>
          <w:szCs w:val="21"/>
        </w:rPr>
        <w:t>Use the same identifiers as the ROPA so privacy and security views stay aligned.</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Ignoring unstructured data in file shares and email, where much sensitive data actually sits.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ID.AM-03: Representations of authorized network communication and data flows are maintained</w:t>
            </w:r>
          </w:p>
          <w:p>
            <w:r>
              <w:rPr>
                <w:rFonts w:ascii="Calibri" w:hAnsi="Calibri" w:cs="Calibri" w:eastAsia="Calibri"/>
                <w:b w:val="0"/>
                <w:i w:val="0"/>
                <w:sz w:val="18"/>
                <w:szCs w:val="18"/>
              </w:rPr>
              <w:t>ID.AM-07: Inventories of data and corresponding metadata for designated data types are maintained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A.5.9, Annex A.5.12, Annex A.5.14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PM-5(1), CM-12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5.9 and 5.12; supports PDPA s.39</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ID-STD-001: Asset Management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ID-REG-003  |  Data Inventory and Data Flow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