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OT and Medical Device Inventory</w:t>
      </w:r>
    </w:p>
    <w:p>
      <w:pPr>
        <w:spacing w:after="80" w:before="0"/>
      </w:pPr>
      <w:r>
        <w:rPr>
          <w:rFonts w:ascii="Calibri" w:hAnsi="Calibri" w:cs="Calibri" w:eastAsia="Calibri"/>
          <w:b w:val="0"/>
          <w:i w:val="0"/>
          <w:color w:val="595959"/>
          <w:sz w:val="18"/>
          <w:szCs w:val="18"/>
        </w:rPr>
        <w:t>ID-REG-004  |  Register  |  Asset Management (ID.AM)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ID-REG-004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OT and Medical Device Inventory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Facilities and Engineering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17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17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Asset Management (ID.AM)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Optional</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SP 800-82 Rev. 3; IEC 80001-1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 Evidence, OT and Medical Device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Optional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21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Facilities and Engineering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17 August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Facilities and Engineering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inventory records operational technology (OT) and medical devices that connect to the network, with their software, support status, and network placement, so their specific risks can be managed (ID.AM-01, ID.AM-02).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(ID-STD-001)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Device ID</w:t>
            </w:r>
          </w:p>
        </w:tc>
        <w:tc>
          <w:tcPr>
            <w:tcW w:type="dxa" w:w="4535"/>
          </w:tcPr>
          <w:p>
            <w:r/>
            <w:r>
              <w:rPr>
                <w:rFonts w:ascii="Calibri" w:hAnsi="Calibri" w:cs="Calibri" w:eastAsia="Calibri"/>
                <w:b w:val="0"/>
                <w:i w:val="0"/>
                <w:sz w:val="18"/>
                <w:szCs w:val="18"/>
              </w:rPr>
              <w:t>Unique tag.</w:t>
            </w:r>
          </w:p>
        </w:tc>
        <w:tc>
          <w:tcPr>
            <w:tcW w:type="dxa" w:w="2551"/>
          </w:tcPr>
          <w:p>
            <w:r/>
            <w:r>
              <w:rPr>
                <w:rFonts w:ascii="Calibri" w:hAnsi="Calibri" w:cs="Calibri" w:eastAsia="Calibri"/>
                <w:b w:val="0"/>
                <w:i w:val="0"/>
                <w:sz w:val="18"/>
                <w:szCs w:val="18"/>
              </w:rPr>
              <w:t>MED-IMG-002</w:t>
            </w:r>
          </w:p>
        </w:tc>
      </w:tr>
      <w:tr>
        <w:tc>
          <w:tcPr>
            <w:tcW w:type="dxa" w:w="2268"/>
          </w:tcPr>
          <w:p>
            <w:r/>
            <w:r>
              <w:rPr>
                <w:rFonts w:ascii="Calibri" w:hAnsi="Calibri" w:cs="Calibri" w:eastAsia="Calibri"/>
                <w:b w:val="0"/>
                <w:i w:val="0"/>
                <w:sz w:val="18"/>
                <w:szCs w:val="18"/>
              </w:rPr>
              <w:t>Device type and manufacturer</w:t>
            </w:r>
          </w:p>
        </w:tc>
        <w:tc>
          <w:tcPr>
            <w:tcW w:type="dxa" w:w="4535"/>
          </w:tcPr>
          <w:p>
            <w:r/>
            <w:r>
              <w:rPr>
                <w:rFonts w:ascii="Calibri" w:hAnsi="Calibri" w:cs="Calibri" w:eastAsia="Calibri"/>
                <w:b w:val="0"/>
                <w:i w:val="0"/>
                <w:sz w:val="18"/>
                <w:szCs w:val="18"/>
              </w:rPr>
              <w:t>Function and maker.</w:t>
            </w:r>
          </w:p>
        </w:tc>
        <w:tc>
          <w:tcPr>
            <w:tcW w:type="dxa" w:w="2551"/>
          </w:tcPr>
          <w:p>
            <w:r/>
          </w:p>
        </w:tc>
      </w:tr>
      <w:tr>
        <w:tc>
          <w:tcPr>
            <w:tcW w:type="dxa" w:w="2268"/>
          </w:tcPr>
          <w:p>
            <w:r/>
            <w:r>
              <w:rPr>
                <w:rFonts w:ascii="Calibri" w:hAnsi="Calibri" w:cs="Calibri" w:eastAsia="Calibri"/>
                <w:b w:val="0"/>
                <w:i w:val="0"/>
                <w:sz w:val="18"/>
                <w:szCs w:val="18"/>
              </w:rPr>
              <w:t>Location and owner</w:t>
            </w:r>
          </w:p>
        </w:tc>
        <w:tc>
          <w:tcPr>
            <w:tcW w:type="dxa" w:w="4535"/>
          </w:tcPr>
          <w:p>
            <w:r/>
            <w:r>
              <w:rPr>
                <w:rFonts w:ascii="Calibri" w:hAnsi="Calibri" w:cs="Calibri" w:eastAsia="Calibri"/>
                <w:b w:val="0"/>
                <w:i w:val="0"/>
                <w:sz w:val="18"/>
                <w:szCs w:val="18"/>
              </w:rPr>
              <w:t>Department.</w:t>
            </w:r>
          </w:p>
        </w:tc>
        <w:tc>
          <w:tcPr>
            <w:tcW w:type="dxa" w:w="2551"/>
          </w:tcPr>
          <w:p>
            <w:r/>
          </w:p>
        </w:tc>
      </w:tr>
      <w:tr>
        <w:tc>
          <w:tcPr>
            <w:tcW w:type="dxa" w:w="2268"/>
          </w:tcPr>
          <w:p>
            <w:r/>
            <w:r>
              <w:rPr>
                <w:rFonts w:ascii="Calibri" w:hAnsi="Calibri" w:cs="Calibri" w:eastAsia="Calibri"/>
                <w:b w:val="0"/>
                <w:i w:val="0"/>
                <w:sz w:val="18"/>
                <w:szCs w:val="18"/>
              </w:rPr>
              <w:t>Embedded OS and version</w:t>
            </w:r>
          </w:p>
        </w:tc>
        <w:tc>
          <w:tcPr>
            <w:tcW w:type="dxa" w:w="4535"/>
          </w:tcPr>
          <w:p>
            <w:r/>
            <w:r>
              <w:rPr>
                <w:rFonts w:ascii="Calibri" w:hAnsi="Calibri" w:cs="Calibri" w:eastAsia="Calibri"/>
                <w:b w:val="0"/>
                <w:i w:val="0"/>
                <w:sz w:val="18"/>
                <w:szCs w:val="18"/>
              </w:rPr>
              <w:t>As reported by the manufacturer.</w:t>
            </w:r>
          </w:p>
        </w:tc>
        <w:tc>
          <w:tcPr>
            <w:tcW w:type="dxa" w:w="2551"/>
          </w:tcPr>
          <w:p>
            <w:r/>
          </w:p>
        </w:tc>
      </w:tr>
      <w:tr>
        <w:tc>
          <w:tcPr>
            <w:tcW w:type="dxa" w:w="2268"/>
          </w:tcPr>
          <w:p>
            <w:r/>
            <w:r>
              <w:rPr>
                <w:rFonts w:ascii="Calibri" w:hAnsi="Calibri" w:cs="Calibri" w:eastAsia="Calibri"/>
                <w:b w:val="0"/>
                <w:i w:val="0"/>
                <w:sz w:val="18"/>
                <w:szCs w:val="18"/>
              </w:rPr>
              <w:t>Patch support</w:t>
            </w:r>
          </w:p>
        </w:tc>
        <w:tc>
          <w:tcPr>
            <w:tcW w:type="dxa" w:w="4535"/>
          </w:tcPr>
          <w:p>
            <w:r/>
            <w:r>
              <w:rPr>
                <w:rFonts w:ascii="Calibri" w:hAnsi="Calibri" w:cs="Calibri" w:eastAsia="Calibri"/>
                <w:b w:val="0"/>
                <w:i w:val="0"/>
                <w:sz w:val="18"/>
                <w:szCs w:val="18"/>
              </w:rPr>
              <w:t>Manufacturer-certified patching available?</w:t>
            </w:r>
          </w:p>
        </w:tc>
        <w:tc>
          <w:tcPr>
            <w:tcW w:type="dxa" w:w="2551"/>
          </w:tcPr>
          <w:p>
            <w:r/>
          </w:p>
        </w:tc>
      </w:tr>
      <w:tr>
        <w:tc>
          <w:tcPr>
            <w:tcW w:type="dxa" w:w="2268"/>
          </w:tcPr>
          <w:p>
            <w:r/>
            <w:r>
              <w:rPr>
                <w:rFonts w:ascii="Calibri" w:hAnsi="Calibri" w:cs="Calibri" w:eastAsia="Calibri"/>
                <w:b w:val="0"/>
                <w:i w:val="0"/>
                <w:sz w:val="18"/>
                <w:szCs w:val="18"/>
              </w:rPr>
              <w:t>Network segment</w:t>
            </w:r>
          </w:p>
        </w:tc>
        <w:tc>
          <w:tcPr>
            <w:tcW w:type="dxa" w:w="4535"/>
          </w:tcPr>
          <w:p>
            <w:r/>
            <w:r>
              <w:rPr>
                <w:rFonts w:ascii="Calibri" w:hAnsi="Calibri" w:cs="Calibri" w:eastAsia="Calibri"/>
                <w:b w:val="0"/>
                <w:i w:val="0"/>
                <w:sz w:val="18"/>
                <w:szCs w:val="18"/>
              </w:rPr>
              <w:t>VLAN or zone.</w:t>
            </w:r>
          </w:p>
        </w:tc>
        <w:tc>
          <w:tcPr>
            <w:tcW w:type="dxa" w:w="2551"/>
          </w:tcPr>
          <w:p>
            <w:r/>
          </w:p>
        </w:tc>
      </w:tr>
      <w:tr>
        <w:tc>
          <w:tcPr>
            <w:tcW w:type="dxa" w:w="2268"/>
          </w:tcPr>
          <w:p>
            <w:r/>
            <w:r>
              <w:rPr>
                <w:rFonts w:ascii="Calibri" w:hAnsi="Calibri" w:cs="Calibri" w:eastAsia="Calibri"/>
                <w:b w:val="0"/>
                <w:i w:val="0"/>
                <w:sz w:val="18"/>
                <w:szCs w:val="18"/>
              </w:rPr>
              <w:t>Remote vendor access</w:t>
            </w:r>
          </w:p>
        </w:tc>
        <w:tc>
          <w:tcPr>
            <w:tcW w:type="dxa" w:w="4535"/>
          </w:tcPr>
          <w:p>
            <w:r/>
            <w:r>
              <w:rPr>
                <w:rFonts w:ascii="Calibri" w:hAnsi="Calibri" w:cs="Calibri" w:eastAsia="Calibri"/>
                <w:b w:val="0"/>
                <w:i w:val="0"/>
                <w:sz w:val="18"/>
                <w:szCs w:val="18"/>
              </w:rPr>
              <w:t>Method.</w:t>
            </w:r>
          </w:p>
        </w:tc>
        <w:tc>
          <w:tcPr>
            <w:tcW w:type="dxa" w:w="2551"/>
          </w:tcPr>
          <w:p>
            <w:r/>
          </w:p>
        </w:tc>
      </w:tr>
      <w:tr>
        <w:tc>
          <w:tcPr>
            <w:tcW w:type="dxa" w:w="2268"/>
          </w:tcPr>
          <w:p>
            <w:r/>
            <w:r>
              <w:rPr>
                <w:rFonts w:ascii="Calibri" w:hAnsi="Calibri" w:cs="Calibri" w:eastAsia="Calibri"/>
                <w:b w:val="0"/>
                <w:i w:val="0"/>
                <w:sz w:val="18"/>
                <w:szCs w:val="18"/>
              </w:rPr>
              <w:t>Clinical or safety criticality</w:t>
            </w:r>
          </w:p>
        </w:tc>
        <w:tc>
          <w:tcPr>
            <w:tcW w:type="dxa" w:w="4535"/>
          </w:tcPr>
          <w:p>
            <w:r/>
            <w:r>
              <w:rPr>
                <w:rFonts w:ascii="Calibri" w:hAnsi="Calibri" w:cs="Calibri" w:eastAsia="Calibri"/>
                <w:b w:val="0"/>
                <w:i w:val="0"/>
                <w:sz w:val="18"/>
                <w:szCs w:val="18"/>
              </w:rPr>
              <w:t>High, Medium, Low.</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892"/>
        <w:gridCol w:w="1892"/>
        <w:gridCol w:w="1892"/>
        <w:gridCol w:w="1892"/>
        <w:gridCol w:w="1892"/>
        <w:gridCol w:w="1892"/>
        <w:gridCol w:w="1892"/>
        <w:gridCol w:w="1892"/>
      </w:tblGrid>
      <w:tr>
        <w:trPr>
          <w:tblHeader w:val="true"/>
        </w:trPr>
        <w:tc>
          <w:tcPr>
            <w:tcW w:type="dxa" w:w="1892"/>
            <w:shd w:val="clear" w:color="auto" w:fill="1F3864"/>
          </w:tcPr>
          <w:p>
            <w:r/>
            <w:r>
              <w:rPr>
                <w:rFonts w:ascii="Calibri" w:hAnsi="Calibri" w:cs="Calibri" w:eastAsia="Calibri"/>
                <w:b/>
                <w:i w:val="0"/>
                <w:color w:val="FFFFFF"/>
                <w:sz w:val="16"/>
                <w:szCs w:val="16"/>
                <w:bCs/>
              </w:rPr>
              <w:t>Device ID</w:t>
            </w:r>
          </w:p>
        </w:tc>
        <w:tc>
          <w:tcPr>
            <w:tcW w:type="dxa" w:w="1892"/>
            <w:shd w:val="clear" w:color="auto" w:fill="1F3864"/>
          </w:tcPr>
          <w:p>
            <w:r/>
            <w:r>
              <w:rPr>
                <w:rFonts w:ascii="Calibri" w:hAnsi="Calibri" w:cs="Calibri" w:eastAsia="Calibri"/>
                <w:b/>
                <w:i w:val="0"/>
                <w:color w:val="FFFFFF"/>
                <w:sz w:val="16"/>
                <w:szCs w:val="16"/>
                <w:bCs/>
              </w:rPr>
              <w:t>Device type and manufacturer</w:t>
            </w:r>
          </w:p>
        </w:tc>
        <w:tc>
          <w:tcPr>
            <w:tcW w:type="dxa" w:w="1892"/>
            <w:shd w:val="clear" w:color="auto" w:fill="1F3864"/>
          </w:tcPr>
          <w:p>
            <w:r/>
            <w:r>
              <w:rPr>
                <w:rFonts w:ascii="Calibri" w:hAnsi="Calibri" w:cs="Calibri" w:eastAsia="Calibri"/>
                <w:b/>
                <w:i w:val="0"/>
                <w:color w:val="FFFFFF"/>
                <w:sz w:val="16"/>
                <w:szCs w:val="16"/>
                <w:bCs/>
              </w:rPr>
              <w:t>Location and owner</w:t>
            </w:r>
          </w:p>
        </w:tc>
        <w:tc>
          <w:tcPr>
            <w:tcW w:type="dxa" w:w="1892"/>
            <w:shd w:val="clear" w:color="auto" w:fill="1F3864"/>
          </w:tcPr>
          <w:p>
            <w:r/>
            <w:r>
              <w:rPr>
                <w:rFonts w:ascii="Calibri" w:hAnsi="Calibri" w:cs="Calibri" w:eastAsia="Calibri"/>
                <w:b/>
                <w:i w:val="0"/>
                <w:color w:val="FFFFFF"/>
                <w:sz w:val="16"/>
                <w:szCs w:val="16"/>
                <w:bCs/>
              </w:rPr>
              <w:t>Embedded OS and version</w:t>
            </w:r>
          </w:p>
        </w:tc>
        <w:tc>
          <w:tcPr>
            <w:tcW w:type="dxa" w:w="1892"/>
            <w:shd w:val="clear" w:color="auto" w:fill="1F3864"/>
          </w:tcPr>
          <w:p>
            <w:r/>
            <w:r>
              <w:rPr>
                <w:rFonts w:ascii="Calibri" w:hAnsi="Calibri" w:cs="Calibri" w:eastAsia="Calibri"/>
                <w:b/>
                <w:i w:val="0"/>
                <w:color w:val="FFFFFF"/>
                <w:sz w:val="16"/>
                <w:szCs w:val="16"/>
                <w:bCs/>
              </w:rPr>
              <w:t>Patch support</w:t>
            </w:r>
          </w:p>
        </w:tc>
        <w:tc>
          <w:tcPr>
            <w:tcW w:type="dxa" w:w="1892"/>
            <w:shd w:val="clear" w:color="auto" w:fill="1F3864"/>
          </w:tcPr>
          <w:p>
            <w:r/>
            <w:r>
              <w:rPr>
                <w:rFonts w:ascii="Calibri" w:hAnsi="Calibri" w:cs="Calibri" w:eastAsia="Calibri"/>
                <w:b/>
                <w:i w:val="0"/>
                <w:color w:val="FFFFFF"/>
                <w:sz w:val="16"/>
                <w:szCs w:val="16"/>
                <w:bCs/>
              </w:rPr>
              <w:t>Network segment</w:t>
            </w:r>
          </w:p>
        </w:tc>
        <w:tc>
          <w:tcPr>
            <w:tcW w:type="dxa" w:w="1892"/>
            <w:shd w:val="clear" w:color="auto" w:fill="1F3864"/>
          </w:tcPr>
          <w:p>
            <w:r/>
            <w:r>
              <w:rPr>
                <w:rFonts w:ascii="Calibri" w:hAnsi="Calibri" w:cs="Calibri" w:eastAsia="Calibri"/>
                <w:b/>
                <w:i w:val="0"/>
                <w:color w:val="FFFFFF"/>
                <w:sz w:val="16"/>
                <w:szCs w:val="16"/>
                <w:bCs/>
              </w:rPr>
              <w:t>Remote vendor access</w:t>
            </w:r>
          </w:p>
        </w:tc>
        <w:tc>
          <w:tcPr>
            <w:tcW w:type="dxa" w:w="1892"/>
            <w:shd w:val="clear" w:color="auto" w:fill="1F3864"/>
          </w:tcPr>
          <w:p>
            <w:r/>
            <w:r>
              <w:rPr>
                <w:rFonts w:ascii="Calibri" w:hAnsi="Calibri" w:cs="Calibri" w:eastAsia="Calibri"/>
                <w:b/>
                <w:i w:val="0"/>
                <w:color w:val="FFFFFF"/>
                <w:sz w:val="16"/>
                <w:szCs w:val="16"/>
                <w:bCs/>
              </w:rPr>
              <w:t>Clinical or safety criticality</w:t>
            </w:r>
          </w:p>
        </w:tc>
      </w:tr>
      <w:tr>
        <w:tc>
          <w:tcPr>
            <w:tcW w:type="dxa" w:w="1892"/>
          </w:tcPr>
          <w:p>
            <w:r/>
            <w:r>
              <w:rPr>
                <w:rFonts w:ascii="Calibri" w:hAnsi="Calibri" w:cs="Calibri" w:eastAsia="Calibri"/>
                <w:b w:val="0"/>
                <w:i w:val="0"/>
                <w:sz w:val="16"/>
                <w:szCs w:val="16"/>
              </w:rPr>
              <w:t>MED-IMG-002</w:t>
            </w:r>
          </w:p>
        </w:tc>
        <w:tc>
          <w:tcPr>
            <w:tcW w:type="dxa" w:w="1892"/>
          </w:tcPr>
          <w:p>
            <w:r/>
            <w:r>
              <w:rPr>
                <w:rFonts w:ascii="Calibri" w:hAnsi="Calibri" w:cs="Calibri" w:eastAsia="Calibri"/>
                <w:b w:val="0"/>
                <w:i w:val="0"/>
                <w:sz w:val="16"/>
                <w:szCs w:val="16"/>
              </w:rPr>
              <w:t>CT scanner workstation, Vendor B partner</w:t>
            </w:r>
          </w:p>
        </w:tc>
        <w:tc>
          <w:tcPr>
            <w:tcW w:type="dxa" w:w="1892"/>
          </w:tcPr>
          <w:p>
            <w:r/>
            <w:r>
              <w:rPr>
                <w:rFonts w:ascii="Calibri" w:hAnsi="Calibri" w:cs="Calibri" w:eastAsia="Calibri"/>
                <w:b w:val="0"/>
                <w:i w:val="0"/>
                <w:sz w:val="16"/>
                <w:szCs w:val="16"/>
              </w:rPr>
              <w:t>Radiology, Riverside</w:t>
            </w:r>
          </w:p>
        </w:tc>
        <w:tc>
          <w:tcPr>
            <w:tcW w:type="dxa" w:w="1892"/>
          </w:tcPr>
          <w:p>
            <w:r/>
            <w:r>
              <w:rPr>
                <w:rFonts w:ascii="Calibri" w:hAnsi="Calibri" w:cs="Calibri" w:eastAsia="Calibri"/>
                <w:b w:val="0"/>
                <w:i w:val="0"/>
                <w:sz w:val="16"/>
                <w:szCs w:val="16"/>
              </w:rPr>
              <w:t>Windows 10 IoT Enterprise LTSC</w:t>
            </w:r>
          </w:p>
        </w:tc>
        <w:tc>
          <w:tcPr>
            <w:tcW w:type="dxa" w:w="1892"/>
          </w:tcPr>
          <w:p>
            <w:r/>
            <w:r>
              <w:rPr>
                <w:rFonts w:ascii="Calibri" w:hAnsi="Calibri" w:cs="Calibri" w:eastAsia="Calibri"/>
                <w:b w:val="0"/>
                <w:i w:val="0"/>
                <w:sz w:val="16"/>
                <w:szCs w:val="16"/>
              </w:rPr>
              <w:t>Quarterly certified patches</w:t>
            </w:r>
          </w:p>
        </w:tc>
        <w:tc>
          <w:tcPr>
            <w:tcW w:type="dxa" w:w="1892"/>
          </w:tcPr>
          <w:p>
            <w:r/>
            <w:r>
              <w:rPr>
                <w:rFonts w:ascii="Calibri" w:hAnsi="Calibri" w:cs="Calibri" w:eastAsia="Calibri"/>
                <w:b w:val="0"/>
                <w:i w:val="0"/>
                <w:sz w:val="16"/>
                <w:szCs w:val="16"/>
              </w:rPr>
              <w:t>VLAN 310 medical imaging</w:t>
            </w:r>
          </w:p>
        </w:tc>
        <w:tc>
          <w:tcPr>
            <w:tcW w:type="dxa" w:w="1892"/>
          </w:tcPr>
          <w:p>
            <w:r/>
            <w:r>
              <w:rPr>
                <w:rFonts w:ascii="Calibri" w:hAnsi="Calibri" w:cs="Calibri" w:eastAsia="Calibri"/>
                <w:b w:val="0"/>
                <w:i w:val="0"/>
                <w:sz w:val="16"/>
                <w:szCs w:val="16"/>
              </w:rPr>
              <w:t>Through CMC jump host</w:t>
            </w:r>
          </w:p>
        </w:tc>
        <w:tc>
          <w:tcPr>
            <w:tcW w:type="dxa" w:w="1892"/>
          </w:tcPr>
          <w:p>
            <w:r/>
            <w:r>
              <w:rPr>
                <w:rFonts w:ascii="Calibri" w:hAnsi="Calibri" w:cs="Calibri" w:eastAsia="Calibri"/>
                <w:b w:val="0"/>
                <w:i w:val="0"/>
                <w:sz w:val="16"/>
                <w:szCs w:val="16"/>
              </w:rPr>
              <w:t>High</w:t>
            </w:r>
          </w:p>
        </w:tc>
      </w:tr>
      <w:tr>
        <w:tc>
          <w:tcPr>
            <w:tcW w:type="dxa" w:w="1892"/>
          </w:tcPr>
          <w:p>
            <w:r/>
            <w:r>
              <w:rPr>
                <w:rFonts w:ascii="Calibri" w:hAnsi="Calibri" w:cs="Calibri" w:eastAsia="Calibri"/>
                <w:b w:val="0"/>
                <w:i w:val="0"/>
                <w:sz w:val="16"/>
                <w:szCs w:val="16"/>
              </w:rPr>
              <w:t>MED-LAB-011</w:t>
            </w:r>
          </w:p>
        </w:tc>
        <w:tc>
          <w:tcPr>
            <w:tcW w:type="dxa" w:w="1892"/>
          </w:tcPr>
          <w:p>
            <w:r/>
            <w:r>
              <w:rPr>
                <w:rFonts w:ascii="Calibri" w:hAnsi="Calibri" w:cs="Calibri" w:eastAsia="Calibri"/>
                <w:b w:val="0"/>
                <w:i w:val="0"/>
                <w:sz w:val="16"/>
                <w:szCs w:val="16"/>
              </w:rPr>
              <w:t>Chemistry analyzer, Vendor C partner</w:t>
            </w:r>
          </w:p>
        </w:tc>
        <w:tc>
          <w:tcPr>
            <w:tcW w:type="dxa" w:w="1892"/>
          </w:tcPr>
          <w:p>
            <w:r/>
            <w:r>
              <w:rPr>
                <w:rFonts w:ascii="Calibri" w:hAnsi="Calibri" w:cs="Calibri" w:eastAsia="Calibri"/>
                <w:b w:val="0"/>
                <w:i w:val="0"/>
                <w:sz w:val="16"/>
                <w:szCs w:val="16"/>
              </w:rPr>
              <w:t>Laboratory, Riverside</w:t>
            </w:r>
          </w:p>
        </w:tc>
        <w:tc>
          <w:tcPr>
            <w:tcW w:type="dxa" w:w="1892"/>
          </w:tcPr>
          <w:p>
            <w:r/>
            <w:r>
              <w:rPr>
                <w:rFonts w:ascii="Calibri" w:hAnsi="Calibri" w:cs="Calibri" w:eastAsia="Calibri"/>
                <w:b w:val="0"/>
                <w:i w:val="0"/>
                <w:sz w:val="16"/>
                <w:szCs w:val="16"/>
              </w:rPr>
              <w:t>Embedded Linux</w:t>
            </w:r>
          </w:p>
        </w:tc>
        <w:tc>
          <w:tcPr>
            <w:tcW w:type="dxa" w:w="1892"/>
          </w:tcPr>
          <w:p>
            <w:r/>
            <w:r>
              <w:rPr>
                <w:rFonts w:ascii="Calibri" w:hAnsi="Calibri" w:cs="Calibri" w:eastAsia="Calibri"/>
                <w:b w:val="0"/>
                <w:i w:val="0"/>
                <w:sz w:val="16"/>
                <w:szCs w:val="16"/>
              </w:rPr>
              <w:t>Manufacturer updates on site</w:t>
            </w:r>
          </w:p>
        </w:tc>
        <w:tc>
          <w:tcPr>
            <w:tcW w:type="dxa" w:w="1892"/>
          </w:tcPr>
          <w:p>
            <w:r/>
            <w:r>
              <w:rPr>
                <w:rFonts w:ascii="Calibri" w:hAnsi="Calibri" w:cs="Calibri" w:eastAsia="Calibri"/>
                <w:b w:val="0"/>
                <w:i w:val="0"/>
                <w:sz w:val="16"/>
                <w:szCs w:val="16"/>
              </w:rPr>
              <w:t>VLAN 320 laboratory devices</w:t>
            </w:r>
          </w:p>
        </w:tc>
        <w:tc>
          <w:tcPr>
            <w:tcW w:type="dxa" w:w="1892"/>
          </w:tcPr>
          <w:p>
            <w:r/>
            <w:r>
              <w:rPr>
                <w:rFonts w:ascii="Calibri" w:hAnsi="Calibri" w:cs="Calibri" w:eastAsia="Calibri"/>
                <w:b w:val="0"/>
                <w:i w:val="0"/>
                <w:sz w:val="16"/>
                <w:szCs w:val="16"/>
              </w:rPr>
              <w:t>None</w:t>
            </w:r>
          </w:p>
        </w:tc>
        <w:tc>
          <w:tcPr>
            <w:tcW w:type="dxa" w:w="1892"/>
          </w:tcPr>
          <w:p>
            <w:r/>
            <w:r>
              <w:rPr>
                <w:rFonts w:ascii="Calibri" w:hAnsi="Calibri" w:cs="Calibri" w:eastAsia="Calibri"/>
                <w:b w:val="0"/>
                <w:i w:val="0"/>
                <w:sz w:val="16"/>
                <w:szCs w:val="16"/>
              </w:rPr>
              <w:t>High</w:t>
            </w:r>
          </w:p>
        </w:tc>
      </w:tr>
      <w:tr>
        <w:tc>
          <w:tcPr>
            <w:tcW w:type="dxa" w:w="1892"/>
          </w:tcPr>
          <w:p>
            <w:r/>
            <w:r>
              <w:rPr>
                <w:rFonts w:ascii="Calibri" w:hAnsi="Calibri" w:cs="Calibri" w:eastAsia="Calibri"/>
                <w:b w:val="0"/>
                <w:i w:val="0"/>
                <w:sz w:val="16"/>
                <w:szCs w:val="16"/>
              </w:rPr>
              <w:t>MED-INF-GW1</w:t>
            </w:r>
          </w:p>
        </w:tc>
        <w:tc>
          <w:tcPr>
            <w:tcW w:type="dxa" w:w="1892"/>
          </w:tcPr>
          <w:p>
            <w:r/>
            <w:r>
              <w:rPr>
                <w:rFonts w:ascii="Calibri" w:hAnsi="Calibri" w:cs="Calibri" w:eastAsia="Calibri"/>
                <w:b w:val="0"/>
                <w:i w:val="0"/>
                <w:sz w:val="16"/>
                <w:szCs w:val="16"/>
              </w:rPr>
              <w:t>Infusion pump gateway</w:t>
            </w:r>
          </w:p>
        </w:tc>
        <w:tc>
          <w:tcPr>
            <w:tcW w:type="dxa" w:w="1892"/>
          </w:tcPr>
          <w:p>
            <w:r/>
            <w:r>
              <w:rPr>
                <w:rFonts w:ascii="Calibri" w:hAnsi="Calibri" w:cs="Calibri" w:eastAsia="Calibri"/>
                <w:b w:val="0"/>
                <w:i w:val="0"/>
                <w:sz w:val="16"/>
                <w:szCs w:val="16"/>
              </w:rPr>
              <w:t>Nursing, Riverside</w:t>
            </w:r>
          </w:p>
        </w:tc>
        <w:tc>
          <w:tcPr>
            <w:tcW w:type="dxa" w:w="1892"/>
          </w:tcPr>
          <w:p>
            <w:r/>
            <w:r>
              <w:rPr>
                <w:rFonts w:ascii="Calibri" w:hAnsi="Calibri" w:cs="Calibri" w:eastAsia="Calibri"/>
                <w:b w:val="0"/>
                <w:i w:val="0"/>
                <w:sz w:val="16"/>
                <w:szCs w:val="16"/>
              </w:rPr>
              <w:t>Windows Server 2016</w:t>
            </w:r>
          </w:p>
        </w:tc>
        <w:tc>
          <w:tcPr>
            <w:tcW w:type="dxa" w:w="1892"/>
          </w:tcPr>
          <w:p>
            <w:r/>
            <w:r>
              <w:rPr>
                <w:rFonts w:ascii="Calibri" w:hAnsi="Calibri" w:cs="Calibri" w:eastAsia="Calibri"/>
                <w:b w:val="0"/>
                <w:i w:val="0"/>
                <w:sz w:val="16"/>
                <w:szCs w:val="16"/>
              </w:rPr>
              <w:t>Annual</w:t>
            </w:r>
          </w:p>
        </w:tc>
        <w:tc>
          <w:tcPr>
            <w:tcW w:type="dxa" w:w="1892"/>
          </w:tcPr>
          <w:p>
            <w:r/>
            <w:r>
              <w:rPr>
                <w:rFonts w:ascii="Calibri" w:hAnsi="Calibri" w:cs="Calibri" w:eastAsia="Calibri"/>
                <w:b w:val="0"/>
                <w:i w:val="0"/>
                <w:sz w:val="16"/>
                <w:szCs w:val="16"/>
              </w:rPr>
              <w:t>VLAN 330 bedside devices</w:t>
            </w:r>
          </w:p>
        </w:tc>
        <w:tc>
          <w:tcPr>
            <w:tcW w:type="dxa" w:w="1892"/>
          </w:tcPr>
          <w:p>
            <w:r/>
            <w:r>
              <w:rPr>
                <w:rFonts w:ascii="Calibri" w:hAnsi="Calibri" w:cs="Calibri" w:eastAsia="Calibri"/>
                <w:b w:val="0"/>
                <w:i w:val="0"/>
                <w:sz w:val="16"/>
                <w:szCs w:val="16"/>
              </w:rPr>
              <w:t>Through CMC jump host</w:t>
            </w:r>
          </w:p>
        </w:tc>
        <w:tc>
          <w:tcPr>
            <w:tcW w:type="dxa" w:w="1892"/>
          </w:tcPr>
          <w:p>
            <w:r/>
            <w:r>
              <w:rPr>
                <w:rFonts w:ascii="Calibri" w:hAnsi="Calibri" w:cs="Calibri" w:eastAsia="Calibri"/>
                <w:b w:val="0"/>
                <w:i w:val="0"/>
                <w:sz w:val="16"/>
                <w:szCs w:val="16"/>
              </w:rPr>
              <w:t>High</w:t>
            </w:r>
          </w:p>
        </w:tc>
      </w:tr>
      <w:tr>
        <w:tc>
          <w:tcPr>
            <w:tcW w:type="dxa" w:w="1892"/>
          </w:tcPr>
          <w:p>
            <w:r/>
            <w:r>
              <w:rPr>
                <w:rFonts w:ascii="Calibri" w:hAnsi="Calibri" w:cs="Calibri" w:eastAsia="Calibri"/>
                <w:b w:val="0"/>
                <w:i w:val="0"/>
                <w:sz w:val="16"/>
                <w:szCs w:val="16"/>
              </w:rPr>
              <w:t>OT-BMS-01</w:t>
            </w:r>
          </w:p>
        </w:tc>
        <w:tc>
          <w:tcPr>
            <w:tcW w:type="dxa" w:w="1892"/>
          </w:tcPr>
          <w:p>
            <w:r/>
            <w:r>
              <w:rPr>
                <w:rFonts w:ascii="Calibri" w:hAnsi="Calibri" w:cs="Calibri" w:eastAsia="Calibri"/>
                <w:b w:val="0"/>
                <w:i w:val="0"/>
                <w:sz w:val="16"/>
                <w:szCs w:val="16"/>
              </w:rPr>
              <w:t>Building management system controller</w:t>
            </w:r>
          </w:p>
        </w:tc>
        <w:tc>
          <w:tcPr>
            <w:tcW w:type="dxa" w:w="1892"/>
          </w:tcPr>
          <w:p>
            <w:r/>
            <w:r>
              <w:rPr>
                <w:rFonts w:ascii="Calibri" w:hAnsi="Calibri" w:cs="Calibri" w:eastAsia="Calibri"/>
                <w:b w:val="0"/>
                <w:i w:val="0"/>
                <w:sz w:val="16"/>
                <w:szCs w:val="16"/>
              </w:rPr>
              <w:t>Facilities, Nonthaburi</w:t>
            </w:r>
          </w:p>
        </w:tc>
        <w:tc>
          <w:tcPr>
            <w:tcW w:type="dxa" w:w="1892"/>
          </w:tcPr>
          <w:p>
            <w:r/>
            <w:r>
              <w:rPr>
                <w:rFonts w:ascii="Calibri" w:hAnsi="Calibri" w:cs="Calibri" w:eastAsia="Calibri"/>
                <w:b w:val="0"/>
                <w:i w:val="0"/>
                <w:sz w:val="16"/>
                <w:szCs w:val="16"/>
              </w:rPr>
              <w:t>Vendor firmware</w:t>
            </w:r>
          </w:p>
        </w:tc>
        <w:tc>
          <w:tcPr>
            <w:tcW w:type="dxa" w:w="1892"/>
          </w:tcPr>
          <w:p>
            <w:r/>
            <w:r>
              <w:rPr>
                <w:rFonts w:ascii="Calibri" w:hAnsi="Calibri" w:cs="Calibri" w:eastAsia="Calibri"/>
                <w:b w:val="0"/>
                <w:i w:val="0"/>
                <w:sz w:val="16"/>
                <w:szCs w:val="16"/>
              </w:rPr>
              <w:t>On request</w:t>
            </w:r>
          </w:p>
        </w:tc>
        <w:tc>
          <w:tcPr>
            <w:tcW w:type="dxa" w:w="1892"/>
          </w:tcPr>
          <w:p>
            <w:r/>
            <w:r>
              <w:rPr>
                <w:rFonts w:ascii="Calibri" w:hAnsi="Calibri" w:cs="Calibri" w:eastAsia="Calibri"/>
                <w:b w:val="0"/>
                <w:i w:val="0"/>
                <w:sz w:val="16"/>
                <w:szCs w:val="16"/>
              </w:rPr>
              <w:t>VLAN 400 building systems</w:t>
            </w:r>
          </w:p>
        </w:tc>
        <w:tc>
          <w:tcPr>
            <w:tcW w:type="dxa" w:w="1892"/>
          </w:tcPr>
          <w:p>
            <w:r/>
            <w:r>
              <w:rPr>
                <w:rFonts w:ascii="Calibri" w:hAnsi="Calibri" w:cs="Calibri" w:eastAsia="Calibri"/>
                <w:b w:val="0"/>
                <w:i w:val="0"/>
                <w:sz w:val="16"/>
                <w:szCs w:val="16"/>
              </w:rPr>
              <w:t>Vendor VPN (to be replaced 2027)</w:t>
            </w:r>
          </w:p>
        </w:tc>
        <w:tc>
          <w:tcPr>
            <w:tcW w:type="dxa" w:w="1892"/>
          </w:tcPr>
          <w:p>
            <w:r/>
            <w:r>
              <w:rPr>
                <w:rFonts w:ascii="Calibri" w:hAnsi="Calibri" w:cs="Calibri" w:eastAsia="Calibri"/>
                <w:b w:val="0"/>
                <w:i w:val="0"/>
                <w:sz w:val="16"/>
                <w:szCs w:val="16"/>
              </w:rPr>
              <w:t>Medium</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Facilities and Engineering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Facilities and Engineering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Facilities and Engineering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passive network discovery tools designed for medical and OT devices; active scans can disrupt them.</w:t>
      </w:r>
    </w:p>
    <w:p>
      <w:pPr>
        <w:pStyle w:val="ListBullet"/>
        <w:spacing w:after="40"/>
      </w:pPr>
      <w:r>
        <w:rPr>
          <w:rFonts w:ascii="Calibri" w:hAnsi="Calibri" w:cs="Calibri" w:eastAsia="Calibri"/>
          <w:b w:val="0"/>
          <w:i w:val="0"/>
          <w:sz w:val="21"/>
          <w:szCs w:val="21"/>
        </w:rPr>
        <w:t>Obtain the Manufacturer Disclosure Statement for Medical Device Security (MDS2) form for each medical device model.</w:t>
      </w:r>
    </w:p>
    <w:p>
      <w:pPr>
        <w:pStyle w:val="ListBullet"/>
        <w:spacing w:after="40"/>
      </w:pPr>
      <w:r>
        <w:rPr>
          <w:rFonts w:ascii="Calibri" w:hAnsi="Calibri" w:cs="Calibri" w:eastAsia="Calibri"/>
          <w:b w:val="0"/>
          <w:i w:val="0"/>
          <w:sz w:val="21"/>
          <w:szCs w:val="21"/>
        </w:rPr>
        <w:t>Have biomedical engineering and IT co-own the inventory.</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Biomedical engineering tracks devices for maintenance only, with no network or software data.</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ID.AM-01: Inventories of hardware managed by the organization are maintained</w:t>
            </w:r>
          </w:p>
          <w:p>
            <w:r>
              <w:rPr>
                <w:rFonts w:ascii="Calibri" w:hAnsi="Calibri" w:cs="Calibri" w:eastAsia="Calibri"/>
                <w:b w:val="0"/>
                <w:i w:val="0"/>
                <w:sz w:val="18"/>
                <w:szCs w:val="18"/>
              </w:rPr>
              <w:t>ID.AM-02: Inventories of software, services, and systems managed by the organization are maintained</w:t>
            </w:r>
          </w:p>
          <w:p>
            <w:r>
              <w:rPr>
                <w:rFonts w:ascii="Calibri" w:hAnsi="Calibri" w:cs="Calibri" w:eastAsia="Calibri"/>
                <w:b w:val="0"/>
                <w:i w:val="0"/>
                <w:sz w:val="18"/>
                <w:szCs w:val="18"/>
              </w:rPr>
              <w:t>ID.AM-05: Assets are prioritized based on classification, criticality, resources, and impact on the mission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CM-8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SP 800-82 Rev. 3; IEC 80001-1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ID-STD-001: Asset Management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ID-REG-004  |  OT and Medical Device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